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רבקה גלט</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D75FD4" w:rsidRDefault="00CD25CB">
                <w:pPr>
                  <w:suppressLineNumbers/>
                  <w:rPr>
                    <w:rFonts w:ascii="Arial" w:hAnsi="Arial"/>
                    <w:b/>
                    <w:bCs/>
                    <w:noProof w:val="0"/>
                    <w:sz w:val="26"/>
                    <w:szCs w:val="26"/>
                    <w:rtl/>
                  </w:rPr>
                </w:pPr>
                <w:r>
                  <w:rPr>
                    <w:rFonts w:ascii="Arial" w:hAnsi="Arial" w:hint="cs"/>
                    <w:b/>
                    <w:bCs/>
                    <w:noProof w:val="0"/>
                    <w:sz w:val="26"/>
                    <w:szCs w:val="26"/>
                    <w:rtl/>
                  </w:rPr>
                  <w:t>ה</w:t>
                </w:r>
                <w:r w:rsidR="00CC5709">
                  <w:rPr>
                    <w:rFonts w:ascii="Arial" w:hAnsi="Arial"/>
                    <w:b/>
                    <w:bCs/>
                    <w:noProof w:val="0"/>
                    <w:sz w:val="26"/>
                    <w:szCs w:val="26"/>
                    <w:rtl/>
                  </w:rPr>
                  <w:t>מאשימה</w:t>
                </w:r>
              </w:p>
            </w:sdtContent>
          </w:sdt>
        </w:tc>
        <w:tc>
          <w:tcPr>
            <w:tcW w:w="5571" w:type="dxa"/>
          </w:tcPr>
          <w:p w:rsidR="00FA7FD0" w:rsidRDefault="00FA7FD0" w:rsidP="00D44968">
            <w:pPr>
              <w:suppressLineNumbers/>
              <w:rPr>
                <w:rtl/>
              </w:rPr>
            </w:pPr>
          </w:p>
          <w:p w:rsidR="0094424E" w:rsidRDefault="00243EE1"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765F7">
                  <w:rPr>
                    <w:rFonts w:ascii="Arial" w:hAnsi="Arial"/>
                    <w:b/>
                    <w:bCs/>
                    <w:noProof w:val="0"/>
                    <w:sz w:val="26"/>
                    <w:szCs w:val="26"/>
                    <w:rtl/>
                  </w:rPr>
                  <w:t>מדינת ישראל</w:t>
                </w:r>
              </w:sdtContent>
            </w:sdt>
          </w:p>
        </w:tc>
      </w:tr>
      <w:tr w:rsidR="0094424E">
        <w:trPr>
          <w:jc w:val="center"/>
        </w:trPr>
        <w:tc>
          <w:tcPr>
            <w:tcW w:w="8820" w:type="dxa"/>
            <w:gridSpan w:val="3"/>
          </w:tcPr>
          <w:p w:rsidR="0094424E" w:rsidRDefault="00CD25CB" w:rsidP="00D44968">
            <w:pPr>
              <w:suppressLineNumbers/>
              <w:rPr>
                <w:rFonts w:ascii="Arial" w:hAnsi="Arial"/>
                <w:b/>
                <w:bCs/>
                <w:noProof w:val="0"/>
                <w:sz w:val="26"/>
                <w:szCs w:val="26"/>
                <w:rtl/>
              </w:rPr>
            </w:pPr>
            <w:r>
              <w:rPr>
                <w:rFonts w:ascii="Arial" w:hAnsi="Arial" w:hint="cs"/>
                <w:b/>
                <w:bCs/>
                <w:noProof w:val="0"/>
                <w:sz w:val="26"/>
                <w:szCs w:val="26"/>
                <w:rtl/>
              </w:rPr>
              <w:t xml:space="preserve">                                                         ע"י ב"כ עו"ד ברק</w:t>
            </w:r>
          </w:p>
          <w:p w:rsidR="00CD25CB" w:rsidRDefault="00CD25CB"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243EE1" w:rsidP="00CD25CB">
            <w:pPr>
              <w:suppressLineNumbers/>
              <w:rPr>
                <w:rFonts w:ascii="Arial" w:hAnsi="Arial"/>
                <w:b/>
                <w:bCs/>
                <w:noProof w:val="0"/>
                <w:sz w:val="26"/>
                <w:szCs w:val="26"/>
              </w:rPr>
            </w:pPr>
            <w:sdt>
              <w:sdtPr>
                <w:rPr>
                  <w:rtl/>
                </w:rPr>
                <w:alias w:val="1184"/>
                <w:tag w:val="1184"/>
                <w:id w:val="-340621022"/>
                <w:text w:multiLine="1"/>
              </w:sdtPr>
              <w:sdtEndPr/>
              <w:sdtContent>
                <w:r w:rsidR="00CD25CB">
                  <w:rPr>
                    <w:rFonts w:ascii="Arial" w:hAnsi="Arial" w:hint="cs"/>
                    <w:b/>
                    <w:bCs/>
                    <w:noProof w:val="0"/>
                    <w:sz w:val="26"/>
                    <w:szCs w:val="26"/>
                    <w:rtl/>
                  </w:rPr>
                  <w:t>ה</w:t>
                </w:r>
                <w:r w:rsidR="00E765F7">
                  <w:rPr>
                    <w:rFonts w:ascii="Arial" w:hAnsi="Arial"/>
                    <w:b/>
                    <w:bCs/>
                    <w:noProof w:val="0"/>
                    <w:sz w:val="26"/>
                    <w:szCs w:val="26"/>
                    <w:rtl/>
                  </w:rPr>
                  <w:t>נאשם</w:t>
                </w:r>
              </w:sdtContent>
            </w:sdt>
          </w:p>
        </w:tc>
        <w:tc>
          <w:tcPr>
            <w:tcW w:w="5571" w:type="dxa"/>
          </w:tcPr>
          <w:p w:rsidR="00CF6BB7" w:rsidRPr="00CD516B" w:rsidRDefault="00243EE1" w:rsidP="00FE09EC">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765F7">
                  <w:rPr>
                    <w:rFonts w:ascii="Arial" w:hAnsi="Arial"/>
                    <w:b/>
                    <w:bCs/>
                    <w:noProof w:val="0"/>
                    <w:sz w:val="26"/>
                    <w:szCs w:val="26"/>
                    <w:rtl/>
                  </w:rPr>
                  <w:t>ארז יצחק</w:t>
                </w:r>
              </w:sdtContent>
            </w:sdt>
          </w:p>
        </w:tc>
      </w:tr>
      <w:tr w:rsidR="00CF6BB7" w:rsidTr="00280865">
        <w:trPr>
          <w:jc w:val="center"/>
        </w:trPr>
        <w:tc>
          <w:tcPr>
            <w:tcW w:w="8820" w:type="dxa"/>
            <w:gridSpan w:val="3"/>
          </w:tcPr>
          <w:p w:rsidR="00CF6BB7" w:rsidRPr="00CD25CB" w:rsidRDefault="00CD25CB" w:rsidP="00CD25CB">
            <w:pPr>
              <w:suppressLineNumbers/>
              <w:rPr>
                <w:b/>
                <w:bCs/>
              </w:rPr>
            </w:pPr>
            <w:r>
              <w:rPr>
                <w:rFonts w:hint="cs"/>
                <w:rtl/>
              </w:rPr>
              <w:t xml:space="preserve">                                                             </w:t>
            </w:r>
            <w:r w:rsidRPr="00CD25CB">
              <w:rPr>
                <w:rFonts w:hint="cs"/>
                <w:b/>
                <w:bCs/>
                <w:rtl/>
              </w:rPr>
              <w:t xml:space="preserve">ע"י ב"כ עוה"ד שקד וגיאת    </w:t>
            </w:r>
          </w:p>
          <w:p w:rsidR="00CF6BB7" w:rsidRDefault="00CF6BB7" w:rsidP="00D44968">
            <w:pPr>
              <w:suppressLineNumbers/>
              <w:rPr>
                <w:rtl/>
              </w:rPr>
            </w:pPr>
          </w:p>
          <w:p w:rsidR="00CF6BB7" w:rsidRDefault="00CF6BB7" w:rsidP="00D44968">
            <w:pPr>
              <w:suppressLineNumbers/>
              <w:rPr>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CD25CB" w:rsidRDefault="00CD25CB" w:rsidP="00CD25CB">
      <w:pPr>
        <w:spacing w:line="360" w:lineRule="auto"/>
        <w:ind w:firstLine="720"/>
        <w:jc w:val="both"/>
        <w:rPr>
          <w:rFonts w:ascii="David" w:hAnsi="David"/>
          <w:rtl/>
        </w:rPr>
      </w:pPr>
      <w:bookmarkStart w:id="1" w:name="NGCSBookmark"/>
      <w:bookmarkEnd w:id="1"/>
      <w:r>
        <w:rPr>
          <w:rFonts w:ascii="David" w:hAnsi="David"/>
          <w:rtl/>
        </w:rPr>
        <w:t xml:space="preserve">עניינה של החלטה זו לדון בטענות מקדמיות שהעלה הנאשם בפתח משפטו, בו מיוחסת לו עבירה של שימוש חורג במקרקעין, לפי סעיף 243 (ד) לחוק התכנון והבניה, התשכ"ה-1965 (להלן: חוק התו"ב או: החוק). </w:t>
      </w:r>
    </w:p>
    <w:p w:rsidR="00CD25CB" w:rsidRDefault="00CD25CB" w:rsidP="00CD25CB">
      <w:pPr>
        <w:spacing w:line="360" w:lineRule="auto"/>
        <w:jc w:val="both"/>
        <w:rPr>
          <w:rFonts w:ascii="David" w:hAnsi="David"/>
          <w:b/>
          <w:bCs/>
          <w:u w:val="single"/>
          <w:rtl/>
        </w:rPr>
      </w:pPr>
    </w:p>
    <w:p w:rsidR="00CD25CB" w:rsidRDefault="00CD25CB" w:rsidP="00CD25CB">
      <w:pPr>
        <w:spacing w:line="360" w:lineRule="auto"/>
        <w:jc w:val="both"/>
        <w:rPr>
          <w:rFonts w:ascii="David" w:hAnsi="David"/>
          <w:b/>
          <w:bCs/>
          <w:u w:val="single"/>
          <w:rtl/>
        </w:rPr>
      </w:pPr>
      <w:r>
        <w:rPr>
          <w:rFonts w:ascii="David" w:hAnsi="David"/>
          <w:b/>
          <w:bCs/>
          <w:u w:val="single"/>
          <w:rtl/>
        </w:rPr>
        <w:t xml:space="preserve">האישום </w:t>
      </w:r>
    </w:p>
    <w:p w:rsidR="00CC5709" w:rsidRDefault="00CC5709" w:rsidP="00CC5709">
      <w:pPr>
        <w:jc w:val="both"/>
        <w:rPr>
          <w:rFonts w:ascii="David" w:hAnsi="David"/>
          <w:b/>
          <w:bCs/>
          <w:u w:val="single"/>
          <w:rtl/>
        </w:rPr>
      </w:pPr>
    </w:p>
    <w:p w:rsidR="00CD25CB" w:rsidRDefault="00CD25CB" w:rsidP="00CD25CB">
      <w:pPr>
        <w:pStyle w:val="ad"/>
        <w:numPr>
          <w:ilvl w:val="0"/>
          <w:numId w:val="1"/>
        </w:numPr>
        <w:spacing w:line="360" w:lineRule="auto"/>
        <w:ind w:left="-58" w:firstLine="0"/>
        <w:jc w:val="both"/>
        <w:rPr>
          <w:rFonts w:ascii="David" w:hAnsi="David" w:cs="David"/>
          <w:sz w:val="24"/>
          <w:szCs w:val="24"/>
          <w:rtl/>
        </w:rPr>
      </w:pPr>
      <w:r>
        <w:rPr>
          <w:rFonts w:ascii="David" w:hAnsi="David" w:cs="David"/>
          <w:sz w:val="24"/>
          <w:szCs w:val="24"/>
          <w:rtl/>
        </w:rPr>
        <w:t xml:space="preserve"> כתב האישום הוגש בעקבות בקשת הנאשם להישפט בגין קנס מנהלי בסך 600,000 ₪, שהוטל עליו מכוח תקנות העבירות המנהליות (קנס מנהלי – תכנו ובניה ) תשע"ח-2018.</w:t>
      </w:r>
    </w:p>
    <w:p w:rsidR="00CD25CB" w:rsidRDefault="00CD25CB" w:rsidP="00CD25CB">
      <w:pPr>
        <w:spacing w:line="360" w:lineRule="auto"/>
        <w:ind w:firstLine="720"/>
        <w:jc w:val="both"/>
        <w:rPr>
          <w:rFonts w:ascii="David" w:hAnsi="David"/>
          <w:rtl/>
        </w:rPr>
      </w:pPr>
      <w:r>
        <w:rPr>
          <w:rFonts w:ascii="David" w:hAnsi="David"/>
          <w:rtl/>
        </w:rPr>
        <w:t xml:space="preserve">על פי עובדות האישום, הנאשם עושה שימוש בקרקע חקלאית מוכרזת, במקרקעין שפרטיהם נקובים בכתב האישום, בכפר רות שבמרחב התכנוני של הוועדה המקומית לתו"ב חבל מודיעין, לרבות אחסנה, מגורים, הפעלת משרדים, הפעלת בית כנסת, ופינות ישיבה בשטח כולל של כ-2,000 מ"ר. הקרקע מצויה בבעלות מדינת ישראל ורשות הפיתוח, ובשליטת הנאשם שהוא בנם של בני הרשות. על המקרקעין חלות תכניות מתאר המפורטות בכתב האישום, והקרקע מוכרזת כחקלאית מיום 19.2.01. </w:t>
      </w:r>
    </w:p>
    <w:p w:rsidR="00CC5709" w:rsidRDefault="00CC5709" w:rsidP="00CC5709">
      <w:pPr>
        <w:ind w:firstLine="720"/>
        <w:jc w:val="both"/>
        <w:rPr>
          <w:rFonts w:ascii="David" w:hAnsi="David"/>
          <w:rtl/>
        </w:rPr>
      </w:pPr>
    </w:p>
    <w:p w:rsidR="00CD25CB" w:rsidRDefault="00CD25CB" w:rsidP="00CD25CB">
      <w:pPr>
        <w:spacing w:line="360" w:lineRule="auto"/>
        <w:ind w:firstLine="720"/>
        <w:jc w:val="both"/>
        <w:rPr>
          <w:rFonts w:ascii="David" w:hAnsi="David"/>
          <w:rtl/>
        </w:rPr>
      </w:pPr>
      <w:r>
        <w:rPr>
          <w:rFonts w:ascii="David" w:hAnsi="David"/>
          <w:rtl/>
        </w:rPr>
        <w:t>כתב האישום כולל פירוט של המבנים האסורים, המשמשים לצורך המפורט לעיל, לפחות החל משנת 2019: שתי סככות בשטח של כ-1,000 מ"ר ו-1,500 מ"ר, אשר השימוש מבוצע תחתיהן, וכולל 26 מבנים מבנייה קלה, מעץ ו/או מתכת/פח/גבס, קראוון, מבנה תת קרקעי, אחסנה פתוחה ומכולות.</w:t>
      </w:r>
    </w:p>
    <w:p w:rsidR="00CC5709" w:rsidRDefault="00CC5709" w:rsidP="00891ACB">
      <w:pPr>
        <w:ind w:firstLine="720"/>
        <w:jc w:val="both"/>
        <w:rPr>
          <w:rFonts w:ascii="David" w:hAnsi="David"/>
          <w:rtl/>
        </w:rPr>
      </w:pPr>
    </w:p>
    <w:p w:rsidR="00CD25CB" w:rsidRDefault="00CD25CB" w:rsidP="00CD25CB">
      <w:pPr>
        <w:spacing w:line="360" w:lineRule="auto"/>
        <w:ind w:firstLine="720"/>
        <w:jc w:val="both"/>
        <w:rPr>
          <w:rFonts w:ascii="David" w:hAnsi="David"/>
          <w:rtl/>
        </w:rPr>
      </w:pPr>
      <w:r>
        <w:rPr>
          <w:rFonts w:ascii="David" w:hAnsi="David"/>
          <w:rtl/>
        </w:rPr>
        <w:t>נכתב כי שווי המקרקעין בייעוד החקלאי מצוי בפער של כ-31,120,000 ₪ לעומת שווים בהנחה שהשימושים היו מותרים.</w:t>
      </w:r>
    </w:p>
    <w:p w:rsidR="00CD25CB" w:rsidRDefault="00CD25CB" w:rsidP="00CD25CB">
      <w:pPr>
        <w:ind w:firstLine="720"/>
        <w:jc w:val="both"/>
        <w:rPr>
          <w:rFonts w:ascii="David" w:hAnsi="David"/>
          <w:rtl/>
        </w:rPr>
      </w:pPr>
    </w:p>
    <w:p w:rsidR="00CC5709" w:rsidRDefault="00CC5709" w:rsidP="00CD25CB">
      <w:pPr>
        <w:spacing w:line="360" w:lineRule="auto"/>
        <w:jc w:val="both"/>
        <w:rPr>
          <w:rFonts w:ascii="David" w:hAnsi="David"/>
          <w:b/>
          <w:bCs/>
          <w:u w:val="single"/>
          <w:rtl/>
        </w:rPr>
      </w:pPr>
    </w:p>
    <w:p w:rsidR="00CD25CB" w:rsidRDefault="00CD25CB" w:rsidP="00CD25CB">
      <w:pPr>
        <w:spacing w:line="360" w:lineRule="auto"/>
        <w:jc w:val="both"/>
        <w:rPr>
          <w:rFonts w:ascii="David" w:hAnsi="David"/>
          <w:b/>
          <w:bCs/>
          <w:u w:val="single"/>
          <w:rtl/>
        </w:rPr>
      </w:pPr>
      <w:r>
        <w:rPr>
          <w:rFonts w:ascii="David" w:hAnsi="David"/>
          <w:b/>
          <w:bCs/>
          <w:u w:val="single"/>
          <w:rtl/>
        </w:rPr>
        <w:lastRenderedPageBreak/>
        <w:t>פירוט הטענות המקדמיות</w:t>
      </w:r>
    </w:p>
    <w:p w:rsidR="00CC5709" w:rsidRDefault="00CC5709" w:rsidP="00CC5709">
      <w:pPr>
        <w:jc w:val="both"/>
        <w:rPr>
          <w:rFonts w:ascii="David" w:hAnsi="David"/>
          <w:b/>
          <w:bCs/>
          <w:u w:val="single"/>
          <w:rtl/>
        </w:rPr>
      </w:pPr>
    </w:p>
    <w:p w:rsidR="00CD25CB" w:rsidRDefault="00CD25CB" w:rsidP="00CD25CB">
      <w:pPr>
        <w:pStyle w:val="ad"/>
        <w:numPr>
          <w:ilvl w:val="0"/>
          <w:numId w:val="1"/>
        </w:numPr>
        <w:spacing w:line="360" w:lineRule="auto"/>
        <w:ind w:left="-58" w:firstLine="0"/>
        <w:jc w:val="both"/>
        <w:rPr>
          <w:rFonts w:ascii="David" w:hAnsi="David" w:cs="David"/>
          <w:sz w:val="24"/>
          <w:szCs w:val="24"/>
          <w:rtl/>
        </w:rPr>
      </w:pPr>
      <w:r>
        <w:rPr>
          <w:rFonts w:ascii="David" w:hAnsi="David" w:cs="David"/>
          <w:sz w:val="24"/>
          <w:szCs w:val="24"/>
          <w:rtl/>
        </w:rPr>
        <w:t>הנאשם העלה טענותיו בכתב, ואף ניתנה לו זכות הטיעון בעל פה, בדיון שהתקיים במעמד הצדדים. בתמצית, הועלו 4 טענות מקדמיות, שיפורטו להלן:</w:t>
      </w:r>
    </w:p>
    <w:p w:rsidR="00CD25CB" w:rsidRDefault="00CD25CB" w:rsidP="00CD25CB">
      <w:pPr>
        <w:pStyle w:val="ad"/>
        <w:spacing w:line="240" w:lineRule="auto"/>
        <w:ind w:left="84"/>
        <w:jc w:val="both"/>
        <w:rPr>
          <w:rFonts w:ascii="David" w:hAnsi="David" w:cs="David"/>
          <w:sz w:val="24"/>
          <w:szCs w:val="24"/>
        </w:rPr>
      </w:pPr>
    </w:p>
    <w:p w:rsidR="00CD25CB" w:rsidRDefault="00CD25CB" w:rsidP="00190811">
      <w:pPr>
        <w:pStyle w:val="ad"/>
        <w:numPr>
          <w:ilvl w:val="0"/>
          <w:numId w:val="4"/>
        </w:numPr>
        <w:spacing w:line="360" w:lineRule="auto"/>
        <w:ind w:left="1077" w:hanging="283"/>
        <w:jc w:val="both"/>
        <w:rPr>
          <w:rFonts w:ascii="David" w:hAnsi="David" w:cs="David"/>
          <w:sz w:val="24"/>
          <w:szCs w:val="24"/>
          <w:rtl/>
        </w:rPr>
      </w:pPr>
      <w:r>
        <w:rPr>
          <w:rFonts w:ascii="David" w:hAnsi="David" w:cs="David"/>
          <w:sz w:val="24"/>
          <w:szCs w:val="24"/>
          <w:rtl/>
        </w:rPr>
        <w:t>המקרקעין מצויים בשטח ההפקר, מחוץ לגבולות הקו הירוק, ומשכך לא חל חוק התו"ב וההליכים המשפטיים נעשים בחוסר סמכות. מעולם לא התקבלה הוראת חוק המחילה את חוק התכנון והבניה על כפר רות, לפיכך על פי הדין הישראלי חל החוק המנדטורי, שהוא פקודת בניין ערים 1936, ורק על פיה היתה המדינה רשאית לפעול. בנוסף, אין לוועדות התכנון והבניה סמכות לפעול בטריטוריה שלא הוחל עליה החוק הישראלי, לכן ההליכים נעדרי סמכות ומדובר בהליך מנהלי פסול.</w:t>
      </w:r>
    </w:p>
    <w:p w:rsidR="00CD25CB" w:rsidRDefault="00CD25CB" w:rsidP="00CD25CB">
      <w:pPr>
        <w:pStyle w:val="ad"/>
        <w:spacing w:line="240" w:lineRule="auto"/>
        <w:ind w:left="651"/>
        <w:jc w:val="both"/>
        <w:rPr>
          <w:rFonts w:ascii="David" w:hAnsi="David" w:cs="David"/>
          <w:sz w:val="24"/>
          <w:szCs w:val="24"/>
        </w:rPr>
      </w:pPr>
    </w:p>
    <w:p w:rsidR="00CD25CB" w:rsidRDefault="00CD25CB" w:rsidP="00190811">
      <w:pPr>
        <w:pStyle w:val="ad"/>
        <w:numPr>
          <w:ilvl w:val="0"/>
          <w:numId w:val="4"/>
        </w:numPr>
        <w:spacing w:line="360" w:lineRule="auto"/>
        <w:ind w:left="1077" w:hanging="283"/>
        <w:jc w:val="both"/>
        <w:rPr>
          <w:rFonts w:ascii="David" w:hAnsi="David" w:cs="David"/>
          <w:sz w:val="24"/>
          <w:szCs w:val="24"/>
        </w:rPr>
      </w:pPr>
      <w:r>
        <w:rPr>
          <w:rFonts w:ascii="David" w:hAnsi="David" w:cs="David"/>
          <w:sz w:val="24"/>
          <w:szCs w:val="24"/>
          <w:rtl/>
        </w:rPr>
        <w:t xml:space="preserve">היחידה לאכיפת דיני מקרקעין בפרקליטות המדינה נטלה </w:t>
      </w:r>
      <w:r w:rsidR="00891ACB">
        <w:rPr>
          <w:rFonts w:ascii="David" w:hAnsi="David" w:cs="David" w:hint="cs"/>
          <w:sz w:val="24"/>
          <w:szCs w:val="24"/>
          <w:rtl/>
        </w:rPr>
        <w:t xml:space="preserve">לידיה </w:t>
      </w:r>
      <w:r>
        <w:rPr>
          <w:rFonts w:ascii="David" w:hAnsi="David" w:cs="David"/>
          <w:sz w:val="24"/>
          <w:szCs w:val="24"/>
          <w:rtl/>
        </w:rPr>
        <w:t xml:space="preserve">את הסמכות לפעול כנגד הנאשם, שלא כדין. היות שהיחידה פעלה בכפר רות במספר חלקות ולא באופן חד פעמי, היה עליה ליטול את הסמכות לפי סעיף 254י"ד לחוק, ולא לפי סעיף 254י"ג, כפי שעשתה. הטענה היא כי היחידה פעלה שלא כדין על מנת לעקוף את החובה </w:t>
      </w:r>
      <w:r w:rsidR="00891ACB">
        <w:rPr>
          <w:rFonts w:ascii="David" w:hAnsi="David" w:cs="David" w:hint="cs"/>
          <w:sz w:val="24"/>
          <w:szCs w:val="24"/>
          <w:rtl/>
        </w:rPr>
        <w:t xml:space="preserve">לבצע הליך כדין של נטילת הסמכות. </w:t>
      </w:r>
    </w:p>
    <w:p w:rsidR="00CD25CB" w:rsidRDefault="00CD25CB" w:rsidP="00190811">
      <w:pPr>
        <w:pStyle w:val="ad"/>
        <w:spacing w:line="240" w:lineRule="auto"/>
        <w:rPr>
          <w:rFonts w:ascii="David" w:hAnsi="David" w:cs="David"/>
          <w:sz w:val="24"/>
          <w:szCs w:val="24"/>
        </w:rPr>
      </w:pPr>
    </w:p>
    <w:p w:rsidR="00CD25CB" w:rsidRDefault="00CD25CB" w:rsidP="00190811">
      <w:pPr>
        <w:pStyle w:val="ad"/>
        <w:numPr>
          <w:ilvl w:val="0"/>
          <w:numId w:val="4"/>
        </w:numPr>
        <w:spacing w:line="360" w:lineRule="auto"/>
        <w:ind w:left="1077" w:hanging="283"/>
        <w:jc w:val="both"/>
        <w:rPr>
          <w:rFonts w:ascii="David" w:hAnsi="David" w:cs="David"/>
          <w:sz w:val="24"/>
          <w:szCs w:val="24"/>
        </w:rPr>
      </w:pPr>
      <w:r>
        <w:rPr>
          <w:rFonts w:ascii="David" w:hAnsi="David" w:cs="David"/>
          <w:sz w:val="24"/>
          <w:szCs w:val="24"/>
          <w:rtl/>
        </w:rPr>
        <w:t xml:space="preserve">נפל פגם בשיקול הדעת בהגשת כתב האישום, היות שבמועד ההגשה וכן בתקופה שלפני כן כבר הופסקו השימושים ועל כן אין עניין לציבור בניהול התיק. בהקשר זה, נטען כי התנהל הליך מקביל בו עתרה המאשימה לצו הפסקת שימוש שיפוטי, ואולם, ביום 13.7.23 נערך ביקור של המפקח מטעם המאשימה במקרקעין ונמצא כי השימושים האסורים חדלו. בעקבות זאת, חזרה בה המאשימה מבקשתה לצו שיפוטי וביום 13.8.23 הורה בית המשפט על מחיקת הבקשה. נטען כי כפי שהמדינה חזרה בה מן הבקשה, כך היה עליה לחזור מן האישום. </w:t>
      </w:r>
    </w:p>
    <w:p w:rsidR="00891ACB" w:rsidRPr="00891ACB" w:rsidRDefault="00891ACB" w:rsidP="00891ACB">
      <w:pPr>
        <w:pStyle w:val="ad"/>
        <w:rPr>
          <w:rFonts w:ascii="David" w:hAnsi="David" w:cs="David"/>
          <w:sz w:val="24"/>
          <w:szCs w:val="24"/>
          <w:rtl/>
        </w:rPr>
      </w:pPr>
    </w:p>
    <w:p w:rsidR="00891ACB" w:rsidRDefault="00891ACB" w:rsidP="00190811">
      <w:pPr>
        <w:pStyle w:val="ad"/>
        <w:numPr>
          <w:ilvl w:val="0"/>
          <w:numId w:val="4"/>
        </w:numPr>
        <w:spacing w:line="360" w:lineRule="auto"/>
        <w:ind w:left="1077" w:hanging="283"/>
        <w:jc w:val="both"/>
        <w:rPr>
          <w:rFonts w:ascii="David" w:hAnsi="David" w:cs="David"/>
          <w:sz w:val="24"/>
          <w:szCs w:val="24"/>
          <w:rtl/>
        </w:rPr>
      </w:pPr>
      <w:r>
        <w:rPr>
          <w:rFonts w:ascii="David" w:hAnsi="David" w:cs="David"/>
          <w:sz w:val="24"/>
          <w:szCs w:val="24"/>
          <w:rtl/>
        </w:rPr>
        <w:t xml:space="preserve">נעשתה אכיפה בררנית, שכן קיימים בכפר רות שטחים נוספים, בקרבת המקרקעין דנן, אשר מסיבה לא מוצדקת, לא נעשו בהם ביקורות ופעולות אכיפה, למרות שמבוצע שימוש שאינו תואם לייעוד. בעניין זה, מפנים הנאשמים ל-5 מקרים בהם לא בוצעה לשיטתם אכיפה, ומוסיפים כי על פי מידע שקיבלו מרשות האכיפה נפתחו בכפר רות 2 הליכי אכיפה בלבד, בשנים 2020-2023, שאחד מהם הוא עניינו של הנאשם. </w:t>
      </w:r>
    </w:p>
    <w:p w:rsidR="00891ACB" w:rsidRDefault="00891ACB" w:rsidP="00891ACB">
      <w:pPr>
        <w:pStyle w:val="ad"/>
        <w:spacing w:line="240" w:lineRule="auto"/>
        <w:rPr>
          <w:rFonts w:ascii="David" w:hAnsi="David" w:cs="David"/>
          <w:sz w:val="24"/>
          <w:szCs w:val="24"/>
        </w:rPr>
      </w:pPr>
    </w:p>
    <w:p w:rsidR="00CD25CB" w:rsidRDefault="00CD25CB" w:rsidP="00CC5709">
      <w:pPr>
        <w:pStyle w:val="ad"/>
        <w:numPr>
          <w:ilvl w:val="0"/>
          <w:numId w:val="1"/>
        </w:numPr>
        <w:spacing w:line="360" w:lineRule="auto"/>
        <w:ind w:left="-58" w:firstLine="0"/>
        <w:jc w:val="both"/>
        <w:rPr>
          <w:rFonts w:ascii="David" w:hAnsi="David" w:cs="David"/>
          <w:sz w:val="24"/>
          <w:szCs w:val="24"/>
        </w:rPr>
      </w:pPr>
      <w:r>
        <w:rPr>
          <w:rFonts w:ascii="David" w:hAnsi="David" w:cs="David"/>
          <w:sz w:val="24"/>
          <w:szCs w:val="24"/>
          <w:rtl/>
        </w:rPr>
        <w:t>מטעם המדינה הוגשה תגובה בכתב לטענות, וכן נשמעו טיעוניה בעל פה, בקצרה.</w:t>
      </w:r>
    </w:p>
    <w:p w:rsidR="00190811" w:rsidRDefault="00190811" w:rsidP="00190811">
      <w:pPr>
        <w:pStyle w:val="ad"/>
        <w:spacing w:line="240" w:lineRule="auto"/>
        <w:ind w:left="-58"/>
        <w:jc w:val="both"/>
        <w:rPr>
          <w:rFonts w:ascii="David" w:hAnsi="David" w:cs="David"/>
          <w:sz w:val="24"/>
          <w:szCs w:val="24"/>
        </w:rPr>
      </w:pPr>
    </w:p>
    <w:p w:rsidR="00CD25CB" w:rsidRDefault="00CD25CB" w:rsidP="00CC5709">
      <w:pPr>
        <w:pStyle w:val="ad"/>
        <w:numPr>
          <w:ilvl w:val="0"/>
          <w:numId w:val="1"/>
        </w:numPr>
        <w:spacing w:line="360" w:lineRule="auto"/>
        <w:ind w:left="-58" w:firstLine="0"/>
        <w:jc w:val="both"/>
        <w:rPr>
          <w:rFonts w:ascii="David" w:hAnsi="David" w:cs="David"/>
          <w:sz w:val="24"/>
          <w:szCs w:val="24"/>
        </w:rPr>
      </w:pPr>
      <w:r>
        <w:rPr>
          <w:rFonts w:ascii="David" w:hAnsi="David" w:cs="David"/>
          <w:sz w:val="24"/>
          <w:szCs w:val="24"/>
          <w:rtl/>
        </w:rPr>
        <w:t>להלן אדון בטענות אחת לאחת.</w:t>
      </w:r>
    </w:p>
    <w:p w:rsidR="00CD25CB" w:rsidRDefault="00CD25CB" w:rsidP="00CC5709">
      <w:pPr>
        <w:ind w:hanging="58"/>
        <w:jc w:val="both"/>
        <w:rPr>
          <w:rFonts w:ascii="David" w:hAnsi="David"/>
          <w:b/>
          <w:bCs/>
          <w:u w:val="single"/>
          <w:rtl/>
        </w:rPr>
      </w:pPr>
    </w:p>
    <w:p w:rsidR="00CD25CB" w:rsidRDefault="00CD25CB" w:rsidP="00CD25CB">
      <w:pPr>
        <w:spacing w:line="360" w:lineRule="auto"/>
        <w:ind w:hanging="58"/>
        <w:jc w:val="both"/>
        <w:rPr>
          <w:rFonts w:ascii="David" w:hAnsi="David"/>
          <w:b/>
          <w:bCs/>
          <w:u w:val="single"/>
          <w:rtl/>
        </w:rPr>
      </w:pPr>
      <w:r>
        <w:rPr>
          <w:rFonts w:ascii="David" w:hAnsi="David"/>
          <w:b/>
          <w:bCs/>
          <w:u w:val="single"/>
          <w:rtl/>
        </w:rPr>
        <w:lastRenderedPageBreak/>
        <w:t>סוגיית הדין החל בכפר רות</w:t>
      </w:r>
    </w:p>
    <w:p w:rsidR="00CC5709" w:rsidRDefault="00CC5709" w:rsidP="00CC5709">
      <w:pPr>
        <w:ind w:hanging="58"/>
        <w:jc w:val="both"/>
        <w:rPr>
          <w:rFonts w:ascii="David" w:hAnsi="David"/>
          <w:b/>
          <w:bCs/>
          <w:u w:val="single"/>
          <w:rtl/>
        </w:rPr>
      </w:pPr>
    </w:p>
    <w:p w:rsidR="00CD25CB" w:rsidRDefault="00CD25CB" w:rsidP="00CD25CB">
      <w:pPr>
        <w:spacing w:line="360" w:lineRule="auto"/>
        <w:ind w:hanging="58"/>
        <w:jc w:val="both"/>
        <w:rPr>
          <w:rFonts w:ascii="David" w:hAnsi="David"/>
          <w:b/>
          <w:bCs/>
          <w:u w:val="single"/>
          <w:rtl/>
        </w:rPr>
      </w:pPr>
      <w:r>
        <w:rPr>
          <w:rFonts w:ascii="David" w:hAnsi="David"/>
          <w:b/>
          <w:bCs/>
          <w:u w:val="single"/>
          <w:rtl/>
        </w:rPr>
        <w:t>מיחזור טענות</w:t>
      </w:r>
    </w:p>
    <w:p w:rsidR="00CC5709" w:rsidRDefault="00CC5709" w:rsidP="00CC5709">
      <w:pPr>
        <w:ind w:hanging="58"/>
        <w:jc w:val="both"/>
        <w:rPr>
          <w:rFonts w:ascii="David" w:hAnsi="David"/>
          <w:b/>
          <w:bCs/>
          <w:u w:val="single"/>
          <w:rtl/>
        </w:rPr>
      </w:pPr>
    </w:p>
    <w:p w:rsidR="00CD25CB" w:rsidRDefault="00CD25CB" w:rsidP="00CD25CB">
      <w:pPr>
        <w:pStyle w:val="ad"/>
        <w:numPr>
          <w:ilvl w:val="0"/>
          <w:numId w:val="1"/>
        </w:numPr>
        <w:spacing w:line="360" w:lineRule="auto"/>
        <w:ind w:left="-58" w:firstLine="0"/>
        <w:jc w:val="both"/>
        <w:rPr>
          <w:rFonts w:ascii="David" w:hAnsi="David" w:cs="David"/>
          <w:sz w:val="24"/>
          <w:szCs w:val="24"/>
          <w:rtl/>
        </w:rPr>
      </w:pPr>
      <w:r>
        <w:rPr>
          <w:rFonts w:ascii="David" w:hAnsi="David" w:cs="David"/>
          <w:sz w:val="24"/>
          <w:szCs w:val="24"/>
          <w:rtl/>
        </w:rPr>
        <w:t>טרם התייחסות לטענות לגופן, מחייבת ההגינות לציין כי אין זו הפעם הראשונה בה מעלה הנאשם טענות בעניין הדין החל בכפר רות. למעשה, המדובר בטענות חוזרות שהועלו כעת ב</w:t>
      </w:r>
      <w:r w:rsidR="00190811">
        <w:rPr>
          <w:rFonts w:ascii="David" w:hAnsi="David" w:cs="David" w:hint="cs"/>
          <w:sz w:val="24"/>
          <w:szCs w:val="24"/>
          <w:rtl/>
        </w:rPr>
        <w:t>פ</w:t>
      </w:r>
      <w:r w:rsidR="007D12C6">
        <w:rPr>
          <w:rFonts w:ascii="David" w:hAnsi="David" w:cs="David" w:hint="cs"/>
          <w:sz w:val="24"/>
          <w:szCs w:val="24"/>
          <w:rtl/>
        </w:rPr>
        <w:t>עם ה</w:t>
      </w:r>
      <w:r>
        <w:rPr>
          <w:rFonts w:ascii="David" w:hAnsi="David" w:cs="David"/>
          <w:sz w:val="24"/>
          <w:szCs w:val="24"/>
          <w:rtl/>
        </w:rPr>
        <w:t>רביעית, ואבהיר.</w:t>
      </w:r>
    </w:p>
    <w:p w:rsidR="00CD25CB" w:rsidRDefault="00CD25CB" w:rsidP="00190811">
      <w:pPr>
        <w:pStyle w:val="ad"/>
        <w:spacing w:line="240" w:lineRule="auto"/>
        <w:ind w:left="84"/>
        <w:jc w:val="both"/>
        <w:rPr>
          <w:rFonts w:ascii="David" w:hAnsi="David" w:cs="David"/>
          <w:sz w:val="24"/>
          <w:szCs w:val="24"/>
        </w:rPr>
      </w:pPr>
    </w:p>
    <w:p w:rsidR="00CD25CB" w:rsidRDefault="00CD25CB" w:rsidP="007D12C6">
      <w:pPr>
        <w:pStyle w:val="ad"/>
        <w:spacing w:line="360" w:lineRule="auto"/>
        <w:ind w:left="84" w:firstLine="636"/>
        <w:jc w:val="both"/>
        <w:rPr>
          <w:rFonts w:ascii="David" w:hAnsi="David" w:cs="David"/>
          <w:sz w:val="24"/>
          <w:szCs w:val="24"/>
        </w:rPr>
      </w:pPr>
      <w:r>
        <w:rPr>
          <w:rFonts w:ascii="David" w:hAnsi="David" w:cs="David"/>
          <w:sz w:val="24"/>
          <w:szCs w:val="24"/>
          <w:rtl/>
        </w:rPr>
        <w:t xml:space="preserve">במסגרת בב"נ 73700-01-18 </w:t>
      </w:r>
      <w:r>
        <w:rPr>
          <w:rFonts w:ascii="David" w:hAnsi="David" w:cs="David"/>
          <w:b/>
          <w:bCs/>
          <w:sz w:val="24"/>
          <w:szCs w:val="24"/>
          <w:rtl/>
        </w:rPr>
        <w:t>וועדה מקומית חבל מודיעין נ' יצחק</w:t>
      </w:r>
      <w:r>
        <w:rPr>
          <w:rFonts w:ascii="David" w:hAnsi="David" w:cs="David"/>
          <w:sz w:val="24"/>
          <w:szCs w:val="24"/>
          <w:rtl/>
        </w:rPr>
        <w:t xml:space="preserve"> (28.2.18), הועלו מטעם הנאשם טענות זהות/דומות, במסגרת הליך של בקשה לצו הפסקה שיפוטי, לגבי שימושים אסורים באותם מקרקעין. הטענות נדחו בהחלטתי המנומקת, בה הובאה המסגרת הנורמטיבית האופפת את הסוגיה, תוך הפנייה להלכה המנחה </w:t>
      </w:r>
      <w:r w:rsidR="007D12C6">
        <w:rPr>
          <w:rFonts w:ascii="David" w:hAnsi="David" w:cs="David" w:hint="cs"/>
          <w:sz w:val="24"/>
          <w:szCs w:val="24"/>
          <w:rtl/>
        </w:rPr>
        <w:t>שנקבעה במרוצת השנים</w:t>
      </w:r>
      <w:r>
        <w:rPr>
          <w:rFonts w:ascii="David" w:hAnsi="David" w:cs="David"/>
          <w:sz w:val="24"/>
          <w:szCs w:val="24"/>
          <w:rtl/>
        </w:rPr>
        <w:t xml:space="preserve">. קבעתי כי על פי המבחנים שנקבעו (מבחן הריבונות ומבחן האפקטיביות), חל הדין הישראלי בכפר רות, ועל כן לא נפל כל פגם באכיפה (להלן: ההליך הראשון). </w:t>
      </w:r>
    </w:p>
    <w:p w:rsidR="00CD25CB" w:rsidRDefault="00CD25CB" w:rsidP="00CD25CB">
      <w:pPr>
        <w:pStyle w:val="ad"/>
        <w:spacing w:line="240" w:lineRule="auto"/>
        <w:ind w:left="84" w:firstLine="636"/>
        <w:jc w:val="both"/>
        <w:rPr>
          <w:rFonts w:ascii="David" w:hAnsi="David" w:cs="David"/>
          <w:sz w:val="24"/>
          <w:szCs w:val="24"/>
          <w:rtl/>
        </w:rPr>
      </w:pPr>
    </w:p>
    <w:p w:rsidR="00CD25CB" w:rsidRDefault="00CD25CB" w:rsidP="007D12C6">
      <w:pPr>
        <w:pStyle w:val="ad"/>
        <w:spacing w:line="360" w:lineRule="auto"/>
        <w:ind w:left="84" w:firstLine="636"/>
        <w:jc w:val="both"/>
        <w:rPr>
          <w:rFonts w:ascii="David" w:hAnsi="David" w:cs="David"/>
          <w:sz w:val="24"/>
          <w:szCs w:val="24"/>
          <w:rtl/>
        </w:rPr>
      </w:pPr>
      <w:r>
        <w:rPr>
          <w:rFonts w:ascii="David" w:hAnsi="David" w:cs="David"/>
          <w:sz w:val="24"/>
          <w:szCs w:val="24"/>
          <w:rtl/>
        </w:rPr>
        <w:t xml:space="preserve">על ההחלטה הוגש ערעור מטעם הנאשם, בעפ"א (מרכז) 58606-03-18 </w:t>
      </w:r>
      <w:r>
        <w:rPr>
          <w:rFonts w:ascii="David" w:hAnsi="David" w:cs="David"/>
          <w:b/>
          <w:bCs/>
          <w:sz w:val="24"/>
          <w:szCs w:val="24"/>
          <w:rtl/>
        </w:rPr>
        <w:t>יצחק נ' הוועדה המקומית חבל מודיעין</w:t>
      </w:r>
      <w:r>
        <w:rPr>
          <w:rFonts w:ascii="David" w:hAnsi="David" w:cs="David"/>
          <w:sz w:val="24"/>
          <w:szCs w:val="24"/>
          <w:rtl/>
        </w:rPr>
        <w:t xml:space="preserve">, אך </w:t>
      </w:r>
      <w:r w:rsidR="00AE7FAA">
        <w:rPr>
          <w:rFonts w:ascii="David" w:hAnsi="David" w:cs="David"/>
          <w:sz w:val="24"/>
          <w:szCs w:val="24"/>
          <w:rtl/>
        </w:rPr>
        <w:t>נדחה בפסק די</w:t>
      </w:r>
      <w:r w:rsidR="00AE7FAA">
        <w:rPr>
          <w:rFonts w:ascii="David" w:hAnsi="David" w:cs="David" w:hint="cs"/>
          <w:sz w:val="24"/>
          <w:szCs w:val="24"/>
          <w:rtl/>
        </w:rPr>
        <w:t>נו של בית המשפט המחוזי</w:t>
      </w:r>
      <w:r>
        <w:rPr>
          <w:rFonts w:ascii="David" w:hAnsi="David" w:cs="David"/>
          <w:sz w:val="24"/>
          <w:szCs w:val="24"/>
          <w:rtl/>
        </w:rPr>
        <w:t xml:space="preserve"> מיום 12.6.18 (להלן: ההליך השני).</w:t>
      </w:r>
    </w:p>
    <w:p w:rsidR="00CD25CB" w:rsidRDefault="00CD25CB" w:rsidP="00CC5709">
      <w:pPr>
        <w:pStyle w:val="ad"/>
        <w:spacing w:line="240" w:lineRule="auto"/>
        <w:ind w:left="84" w:firstLine="636"/>
        <w:jc w:val="both"/>
        <w:rPr>
          <w:rFonts w:ascii="David" w:hAnsi="David" w:cs="David"/>
          <w:sz w:val="24"/>
          <w:szCs w:val="24"/>
          <w:rtl/>
        </w:rPr>
      </w:pPr>
    </w:p>
    <w:p w:rsidR="00CD25CB" w:rsidRDefault="00CD25CB" w:rsidP="00D23D7D">
      <w:pPr>
        <w:pStyle w:val="ad"/>
        <w:spacing w:line="360" w:lineRule="auto"/>
        <w:ind w:left="84" w:firstLine="636"/>
        <w:jc w:val="both"/>
        <w:rPr>
          <w:rFonts w:ascii="David" w:hAnsi="David" w:cs="David"/>
          <w:sz w:val="24"/>
          <w:szCs w:val="24"/>
          <w:rtl/>
        </w:rPr>
      </w:pPr>
      <w:r>
        <w:rPr>
          <w:rFonts w:ascii="David" w:hAnsi="David" w:cs="David"/>
          <w:sz w:val="24"/>
          <w:szCs w:val="24"/>
          <w:rtl/>
        </w:rPr>
        <w:t>בשלישית הועלו הטענות במסגרת תגובת הנאשם לבקשה לצו שיפוטי שהוגשה נגדו בבב"נ 21180-04-23, שם עתרה המחלקה להנחיית תובעים למתן צו הפסקת שימוש, בגין אותן עבירות, באותם המקרקעין נושא האישום שלפניי. לא זו אף זו, הנאשם הגדיל וצירף לתגובתו לבקשה מסמך אותו הכתיר כ"חוות דעת מומחה" בעניין הדין החל בכפר רות, אשר נערך על ידי עו"ד דרורי, שייצג אותו בהליך הראשון בו נדחו טענותיו. לאחר ששמע הנאשם את הערותיי בעניין הקושי הנלווה להגשת חוות דעת מומחה בסוגיות משפטיות שבהן אמור בית המשפט להיות זה המפרש את הדין</w:t>
      </w:r>
      <w:r w:rsidR="00BB0EE7">
        <w:rPr>
          <w:rFonts w:ascii="David" w:hAnsi="David" w:cs="David" w:hint="cs"/>
          <w:sz w:val="24"/>
          <w:szCs w:val="24"/>
          <w:rtl/>
        </w:rPr>
        <w:t xml:space="preserve"> (</w:t>
      </w:r>
      <w:r w:rsidR="00BB0EE7" w:rsidRPr="00FC7A7B">
        <w:rPr>
          <w:rFonts w:ascii="David" w:hAnsi="David" w:cs="David"/>
          <w:color w:val="000000"/>
          <w:sz w:val="24"/>
          <w:szCs w:val="24"/>
          <w:rtl/>
        </w:rPr>
        <w:t>ע</w:t>
      </w:r>
      <w:r w:rsidR="00BB0EE7" w:rsidRPr="00FC7A7B">
        <w:rPr>
          <w:rFonts w:ascii="David" w:hAnsi="David" w:cs="David"/>
          <w:sz w:val="24"/>
          <w:szCs w:val="24"/>
        </w:rPr>
        <w:t>"</w:t>
      </w:r>
      <w:hyperlink r:id="rId10" w:history="1">
        <w:r w:rsidR="00BB0EE7" w:rsidRPr="00FC7A7B">
          <w:rPr>
            <w:rStyle w:val="Hyperlink"/>
            <w:rFonts w:ascii="David" w:hAnsi="David" w:cs="David"/>
            <w:color w:val="auto"/>
            <w:sz w:val="24"/>
            <w:szCs w:val="24"/>
            <w:u w:val="none"/>
            <w:rtl/>
          </w:rPr>
          <w:t>א 2146/06</w:t>
        </w:r>
      </w:hyperlink>
      <w:r w:rsidR="00BB0EE7" w:rsidRPr="00FC7A7B">
        <w:rPr>
          <w:rFonts w:ascii="David" w:hAnsi="David" w:cs="David"/>
          <w:color w:val="000000"/>
          <w:sz w:val="24"/>
          <w:szCs w:val="24"/>
        </w:rPr>
        <w:t> </w:t>
      </w:r>
      <w:r w:rsidR="00BB0EE7" w:rsidRPr="00FC7A7B">
        <w:rPr>
          <w:rFonts w:ascii="David" w:hAnsi="David" w:cs="David"/>
          <w:b/>
          <w:bCs/>
          <w:color w:val="000000"/>
          <w:sz w:val="24"/>
          <w:szCs w:val="24"/>
          <w:rtl/>
        </w:rPr>
        <w:t xml:space="preserve"> ברק נ' </w:t>
      </w:r>
      <w:r w:rsidR="00FC7A7B" w:rsidRPr="00FC7A7B">
        <w:rPr>
          <w:rFonts w:ascii="David" w:hAnsi="David" w:cs="David" w:hint="cs"/>
          <w:b/>
          <w:bCs/>
          <w:color w:val="000000"/>
          <w:sz w:val="24"/>
          <w:szCs w:val="24"/>
          <w:rtl/>
        </w:rPr>
        <w:t xml:space="preserve">עו"ד </w:t>
      </w:r>
      <w:r w:rsidR="00BB0EE7" w:rsidRPr="00FC7A7B">
        <w:rPr>
          <w:rFonts w:ascii="David" w:hAnsi="David" w:cs="David"/>
          <w:b/>
          <w:bCs/>
          <w:color w:val="000000"/>
          <w:sz w:val="24"/>
          <w:szCs w:val="24"/>
          <w:rtl/>
        </w:rPr>
        <w:t>אבוקרט – מפרק</w:t>
      </w:r>
      <w:r w:rsidR="00FC7A7B" w:rsidRPr="00FC7A7B">
        <w:rPr>
          <w:rFonts w:ascii="David" w:hAnsi="David" w:cs="David" w:hint="cs"/>
          <w:sz w:val="24"/>
          <w:szCs w:val="24"/>
          <w:rtl/>
        </w:rPr>
        <w:t xml:space="preserve"> (</w:t>
      </w:r>
      <w:r w:rsidR="00FC7A7B">
        <w:rPr>
          <w:rFonts w:ascii="David" w:hAnsi="David" w:cs="David" w:hint="cs"/>
          <w:sz w:val="24"/>
          <w:szCs w:val="24"/>
          <w:rtl/>
        </w:rPr>
        <w:t>18.11.10)</w:t>
      </w:r>
      <w:r w:rsidR="00BB0EE7">
        <w:rPr>
          <w:rFonts w:ascii="David" w:hAnsi="David" w:cs="David" w:hint="cs"/>
          <w:sz w:val="24"/>
          <w:szCs w:val="24"/>
          <w:rtl/>
        </w:rPr>
        <w:t xml:space="preserve">; ו"ע (מח' ת"א) </w:t>
      </w:r>
      <w:r w:rsidR="00BB0EE7" w:rsidRPr="00BB0EE7">
        <w:rPr>
          <w:rFonts w:ascii="David" w:hAnsi="David" w:cs="David" w:hint="cs"/>
          <w:b/>
          <w:bCs/>
          <w:sz w:val="24"/>
          <w:szCs w:val="24"/>
          <w:rtl/>
        </w:rPr>
        <w:t>אזורים בניין בע"מ נ' מנהל מיסוי מקרקעין תל אביב</w:t>
      </w:r>
      <w:r w:rsidR="00BB0EE7">
        <w:rPr>
          <w:rFonts w:ascii="David" w:hAnsi="David" w:cs="David" w:hint="cs"/>
          <w:sz w:val="24"/>
          <w:szCs w:val="24"/>
          <w:rtl/>
        </w:rPr>
        <w:t xml:space="preserve"> (19.12.21)</w:t>
      </w:r>
      <w:r w:rsidR="00FC7A7B">
        <w:rPr>
          <w:rFonts w:ascii="David" w:hAnsi="David" w:cs="David" w:hint="cs"/>
          <w:sz w:val="24"/>
          <w:szCs w:val="24"/>
          <w:rtl/>
        </w:rPr>
        <w:t xml:space="preserve">; ת"פ (מח' ת"א) 40090/04 </w:t>
      </w:r>
      <w:r w:rsidR="00FC7A7B" w:rsidRPr="00FC7A7B">
        <w:rPr>
          <w:rFonts w:ascii="David" w:hAnsi="David" w:cs="David" w:hint="cs"/>
          <w:b/>
          <w:bCs/>
          <w:sz w:val="24"/>
          <w:szCs w:val="24"/>
          <w:rtl/>
        </w:rPr>
        <w:t>מד"י נ' זאבי</w:t>
      </w:r>
      <w:r w:rsidR="00FC7A7B">
        <w:rPr>
          <w:rFonts w:ascii="David" w:hAnsi="David" w:cs="David" w:hint="cs"/>
          <w:sz w:val="24"/>
          <w:szCs w:val="24"/>
          <w:rtl/>
        </w:rPr>
        <w:t xml:space="preserve"> (21.10.15)),</w:t>
      </w:r>
      <w:r>
        <w:rPr>
          <w:rFonts w:ascii="David" w:hAnsi="David" w:cs="David"/>
          <w:sz w:val="24"/>
          <w:szCs w:val="24"/>
          <w:rtl/>
        </w:rPr>
        <w:t xml:space="preserve"> </w:t>
      </w:r>
      <w:r w:rsidR="00FC7A7B">
        <w:rPr>
          <w:rFonts w:ascii="David" w:hAnsi="David" w:cs="David" w:hint="cs"/>
          <w:sz w:val="24"/>
          <w:szCs w:val="24"/>
          <w:rtl/>
        </w:rPr>
        <w:t>ולאחר משא ומת</w:t>
      </w:r>
      <w:r w:rsidR="009C1DF3">
        <w:rPr>
          <w:rFonts w:ascii="David" w:hAnsi="David" w:cs="David" w:hint="cs"/>
          <w:sz w:val="24"/>
          <w:szCs w:val="24"/>
          <w:rtl/>
        </w:rPr>
        <w:t xml:space="preserve">ן, </w:t>
      </w:r>
      <w:r>
        <w:rPr>
          <w:rFonts w:ascii="David" w:hAnsi="David" w:cs="David"/>
          <w:sz w:val="24"/>
          <w:szCs w:val="24"/>
          <w:rtl/>
        </w:rPr>
        <w:t>גובשו בין הצדדים הסכמות</w:t>
      </w:r>
      <w:r w:rsidR="00D23D7D">
        <w:rPr>
          <w:rFonts w:ascii="David" w:hAnsi="David" w:cs="David" w:hint="cs"/>
          <w:sz w:val="24"/>
          <w:szCs w:val="24"/>
          <w:rtl/>
        </w:rPr>
        <w:t xml:space="preserve">. על פי המוסכם, </w:t>
      </w:r>
      <w:r>
        <w:rPr>
          <w:rFonts w:ascii="David" w:hAnsi="David" w:cs="David"/>
          <w:sz w:val="24"/>
          <w:szCs w:val="24"/>
          <w:rtl/>
        </w:rPr>
        <w:t>הבקשה למתן הצו נמחקה היות שנמצא כי השימושים פסקו, ומאחר שכבר קיים צו שיפוטי לגביהם, אשר ניתן במסגרת ההליך הראשון, ועודנו עומד בתוקפו (להלן: ההליך השלישי).</w:t>
      </w:r>
    </w:p>
    <w:p w:rsidR="00CC5709" w:rsidRDefault="00CC5709" w:rsidP="00CC5709">
      <w:pPr>
        <w:pStyle w:val="ad"/>
        <w:spacing w:line="240" w:lineRule="auto"/>
        <w:ind w:left="84" w:firstLine="636"/>
        <w:jc w:val="both"/>
        <w:rPr>
          <w:rFonts w:ascii="David" w:hAnsi="David" w:cs="David"/>
          <w:sz w:val="24"/>
          <w:szCs w:val="24"/>
          <w:rtl/>
        </w:rPr>
      </w:pPr>
    </w:p>
    <w:p w:rsidR="00CD25CB" w:rsidRDefault="00CD25CB" w:rsidP="00CD25CB">
      <w:pPr>
        <w:pStyle w:val="ad"/>
        <w:spacing w:line="360" w:lineRule="auto"/>
        <w:ind w:left="84" w:firstLine="636"/>
        <w:jc w:val="both"/>
        <w:rPr>
          <w:rFonts w:ascii="David" w:hAnsi="David" w:cs="David"/>
          <w:sz w:val="24"/>
          <w:szCs w:val="24"/>
          <w:rtl/>
        </w:rPr>
      </w:pPr>
      <w:r>
        <w:rPr>
          <w:rFonts w:ascii="David" w:hAnsi="David" w:cs="David"/>
          <w:sz w:val="24"/>
          <w:szCs w:val="24"/>
          <w:rtl/>
        </w:rPr>
        <w:t>כעת, עולות הטענות מחדש, ברביעית.</w:t>
      </w:r>
    </w:p>
    <w:p w:rsidR="00CD25CB" w:rsidRDefault="00CD25CB" w:rsidP="00CC5709">
      <w:pPr>
        <w:pStyle w:val="ad"/>
        <w:spacing w:line="240" w:lineRule="auto"/>
        <w:ind w:left="84"/>
        <w:jc w:val="both"/>
        <w:rPr>
          <w:rFonts w:ascii="David" w:hAnsi="David" w:cs="David"/>
          <w:sz w:val="24"/>
          <w:szCs w:val="24"/>
          <w:rtl/>
        </w:rPr>
      </w:pPr>
    </w:p>
    <w:p w:rsidR="00CD25CB" w:rsidRDefault="00CD25CB" w:rsidP="00D23D7D">
      <w:pPr>
        <w:pStyle w:val="ad"/>
        <w:numPr>
          <w:ilvl w:val="0"/>
          <w:numId w:val="1"/>
        </w:numPr>
        <w:spacing w:line="360" w:lineRule="auto"/>
        <w:ind w:left="-58" w:firstLine="0"/>
        <w:jc w:val="both"/>
        <w:rPr>
          <w:rFonts w:ascii="David" w:hAnsi="David" w:cs="David"/>
          <w:sz w:val="24"/>
          <w:szCs w:val="24"/>
        </w:rPr>
      </w:pPr>
      <w:r>
        <w:rPr>
          <w:rFonts w:ascii="David" w:hAnsi="David" w:cs="David"/>
          <w:sz w:val="24"/>
          <w:szCs w:val="24"/>
          <w:rtl/>
        </w:rPr>
        <w:t xml:space="preserve">לדעתי, התנהלות הנאשם מעוררת קושי רב, שכן בחר </w:t>
      </w:r>
      <w:r w:rsidR="00AE7FAA">
        <w:rPr>
          <w:rFonts w:ascii="David" w:hAnsi="David" w:cs="David" w:hint="cs"/>
          <w:sz w:val="24"/>
          <w:szCs w:val="24"/>
          <w:rtl/>
        </w:rPr>
        <w:t>להימנע ממיצוי</w:t>
      </w:r>
      <w:r>
        <w:rPr>
          <w:rFonts w:ascii="David" w:hAnsi="David" w:cs="David"/>
          <w:sz w:val="24"/>
          <w:szCs w:val="24"/>
          <w:rtl/>
        </w:rPr>
        <w:t xml:space="preserve"> טענותיו, </w:t>
      </w:r>
      <w:r w:rsidR="00AE7FAA">
        <w:rPr>
          <w:rFonts w:ascii="David" w:hAnsi="David" w:cs="David" w:hint="cs"/>
          <w:sz w:val="24"/>
          <w:szCs w:val="24"/>
          <w:rtl/>
        </w:rPr>
        <w:t>בכך ש</w:t>
      </w:r>
      <w:r>
        <w:rPr>
          <w:rFonts w:ascii="David" w:hAnsi="David" w:cs="David"/>
          <w:sz w:val="24"/>
          <w:szCs w:val="24"/>
          <w:rtl/>
        </w:rPr>
        <w:t>לא פנה בבקשת רשות ערעור על פסק דינו של בית המשפט המחוזי הנכבד</w:t>
      </w:r>
      <w:r w:rsidR="00AE7FAA">
        <w:rPr>
          <w:rFonts w:ascii="David" w:hAnsi="David" w:cs="David"/>
          <w:sz w:val="24"/>
          <w:szCs w:val="24"/>
          <w:rtl/>
        </w:rPr>
        <w:t>, ואילו כעת</w:t>
      </w:r>
      <w:r>
        <w:rPr>
          <w:rFonts w:ascii="David" w:hAnsi="David" w:cs="David"/>
          <w:sz w:val="24"/>
          <w:szCs w:val="24"/>
          <w:rtl/>
        </w:rPr>
        <w:t xml:space="preserve"> ממוחזרות הטענות </w:t>
      </w:r>
      <w:r>
        <w:rPr>
          <w:rFonts w:ascii="David" w:hAnsi="David" w:cs="David"/>
          <w:sz w:val="24"/>
          <w:szCs w:val="24"/>
          <w:rtl/>
        </w:rPr>
        <w:lastRenderedPageBreak/>
        <w:t>לפני מותב זה, שהחלטתו הפכה חלוטה</w:t>
      </w:r>
      <w:r w:rsidR="00AE7FAA">
        <w:rPr>
          <w:rFonts w:ascii="David" w:hAnsi="David" w:cs="David" w:hint="cs"/>
          <w:sz w:val="24"/>
          <w:szCs w:val="24"/>
          <w:rtl/>
        </w:rPr>
        <w:t xml:space="preserve"> זה מכבר</w:t>
      </w:r>
      <w:r>
        <w:rPr>
          <w:rFonts w:ascii="David" w:hAnsi="David" w:cs="David"/>
          <w:sz w:val="24"/>
          <w:szCs w:val="24"/>
          <w:rtl/>
        </w:rPr>
        <w:t xml:space="preserve">. </w:t>
      </w:r>
      <w:r w:rsidR="00D23D7D">
        <w:rPr>
          <w:rFonts w:ascii="David" w:hAnsi="David" w:cs="David" w:hint="cs"/>
          <w:sz w:val="24"/>
          <w:szCs w:val="24"/>
          <w:rtl/>
        </w:rPr>
        <w:t xml:space="preserve">אני מוצאת כי יש </w:t>
      </w:r>
      <w:r>
        <w:rPr>
          <w:rFonts w:ascii="David" w:hAnsi="David" w:cs="David"/>
          <w:sz w:val="24"/>
          <w:szCs w:val="24"/>
          <w:rtl/>
        </w:rPr>
        <w:t>טעם לפגם בהעלאת הטענות ברביעית, כשבעצם, נוצר מעין "השתק פלוגתא" כלפי הנאשם</w:t>
      </w:r>
      <w:r w:rsidR="00AE7FAA">
        <w:rPr>
          <w:rFonts w:ascii="David" w:hAnsi="David" w:cs="David" w:hint="cs"/>
          <w:sz w:val="24"/>
          <w:szCs w:val="24"/>
          <w:rtl/>
        </w:rPr>
        <w:t>.</w:t>
      </w:r>
    </w:p>
    <w:p w:rsidR="00CD25CB" w:rsidRDefault="00CD25CB" w:rsidP="00CC5709">
      <w:pPr>
        <w:pStyle w:val="ad"/>
        <w:spacing w:line="240" w:lineRule="auto"/>
        <w:ind w:left="84"/>
        <w:jc w:val="both"/>
        <w:rPr>
          <w:rFonts w:ascii="David" w:hAnsi="David" w:cs="David"/>
          <w:sz w:val="24"/>
          <w:szCs w:val="24"/>
        </w:rPr>
      </w:pPr>
    </w:p>
    <w:p w:rsidR="00CD25CB" w:rsidRDefault="00CD25CB" w:rsidP="00AE7FAA">
      <w:pPr>
        <w:pStyle w:val="ad"/>
        <w:numPr>
          <w:ilvl w:val="0"/>
          <w:numId w:val="1"/>
        </w:numPr>
        <w:spacing w:line="360" w:lineRule="auto"/>
        <w:ind w:left="-58" w:firstLine="0"/>
        <w:jc w:val="both"/>
        <w:rPr>
          <w:rFonts w:ascii="David" w:hAnsi="David" w:cs="David"/>
          <w:sz w:val="24"/>
          <w:szCs w:val="24"/>
        </w:rPr>
      </w:pPr>
      <w:r>
        <w:rPr>
          <w:rFonts w:ascii="David" w:hAnsi="David" w:cs="David"/>
          <w:sz w:val="24"/>
          <w:szCs w:val="24"/>
          <w:rtl/>
        </w:rPr>
        <w:t>מעיון בפסק דינו של בית המשפט המחוזי בהליך השני, עולה כי לא שינה מקביעותיו של בית המשפט קמא (מותב זה), לפיהן הנאשם כלל לא הוכיח כי כפר רות מצוי בשטח ההפקר אלא העלה טענות בעלמא, ולא הציג תעודת שר חוץ בעניין מעמדו של הכפר, זאת בעוד שעל פי מבחני הפסיקה, חל במקום הדין הישראלי. עוד עולה כי הטעם העיקרי לדחיית הערעור היה נעוץ בכך שהנאשם ניסה להוסיף ראיה בערעור, בדמות מסמך של המרכז למיפוי ישראל בעניין מיקומו של כפר רות בשטח ההפקר, ו</w:t>
      </w:r>
      <w:r w:rsidR="00AE7FAA">
        <w:rPr>
          <w:rFonts w:ascii="David" w:hAnsi="David" w:cs="David" w:hint="cs"/>
          <w:sz w:val="24"/>
          <w:szCs w:val="24"/>
          <w:rtl/>
        </w:rPr>
        <w:t xml:space="preserve">לצד זה </w:t>
      </w:r>
      <w:r>
        <w:rPr>
          <w:rFonts w:ascii="David" w:hAnsi="David" w:cs="David"/>
          <w:sz w:val="24"/>
          <w:szCs w:val="24"/>
          <w:rtl/>
        </w:rPr>
        <w:t xml:space="preserve">אישר </w:t>
      </w:r>
      <w:r w:rsidR="00AE7FAA">
        <w:rPr>
          <w:rFonts w:ascii="David" w:hAnsi="David" w:cs="David" w:hint="cs"/>
          <w:sz w:val="24"/>
          <w:szCs w:val="24"/>
          <w:rtl/>
        </w:rPr>
        <w:t xml:space="preserve">שם </w:t>
      </w:r>
      <w:r>
        <w:rPr>
          <w:rFonts w:ascii="David" w:hAnsi="David" w:cs="David"/>
          <w:sz w:val="24"/>
          <w:szCs w:val="24"/>
          <w:rtl/>
        </w:rPr>
        <w:t>כי אין בידו תעודת שר חוץ שכן לא הספיק להשיגה. בפסק הדין נכתב כי אין מקום לאפשר הגשת ראיות בשלב הערעור, מקום בו ניתן היה להשיגן בשלב הדיוני. נקבע כי החלטת בית המשפט קמא תעמוד בעינה כיוון שניתנה על בסיס המסד הראייתי שהיה קיים בעת ההכרעה.</w:t>
      </w:r>
    </w:p>
    <w:p w:rsidR="00CD25CB" w:rsidRDefault="00CD25CB" w:rsidP="00CC5709">
      <w:pPr>
        <w:pStyle w:val="ad"/>
        <w:spacing w:line="240" w:lineRule="auto"/>
        <w:rPr>
          <w:rFonts w:ascii="David" w:hAnsi="David" w:cs="David"/>
          <w:sz w:val="24"/>
          <w:szCs w:val="24"/>
        </w:rPr>
      </w:pPr>
    </w:p>
    <w:p w:rsidR="00CD25CB" w:rsidRPr="00614E15" w:rsidRDefault="00AE7FAA" w:rsidP="00614E15">
      <w:pPr>
        <w:pStyle w:val="ad"/>
        <w:numPr>
          <w:ilvl w:val="0"/>
          <w:numId w:val="1"/>
        </w:numPr>
        <w:spacing w:line="360" w:lineRule="auto"/>
        <w:ind w:left="-58" w:firstLine="0"/>
        <w:jc w:val="both"/>
        <w:rPr>
          <w:rFonts w:ascii="David" w:hAnsi="David" w:cs="David"/>
          <w:b/>
          <w:bCs/>
          <w:sz w:val="24"/>
          <w:szCs w:val="24"/>
          <w:u w:val="single"/>
        </w:rPr>
      </w:pPr>
      <w:r w:rsidRPr="008928F9">
        <w:rPr>
          <w:rFonts w:ascii="David" w:hAnsi="David" w:cs="David" w:hint="cs"/>
          <w:sz w:val="24"/>
          <w:szCs w:val="24"/>
          <w:rtl/>
        </w:rPr>
        <w:t>מתקבל הרושם</w:t>
      </w:r>
      <w:r w:rsidR="00CD25CB" w:rsidRPr="008928F9">
        <w:rPr>
          <w:rFonts w:ascii="David" w:hAnsi="David" w:cs="David"/>
          <w:sz w:val="24"/>
          <w:szCs w:val="24"/>
          <w:rtl/>
        </w:rPr>
        <w:t xml:space="preserve"> כי הנאשם לא הפנים את פסק הדין, שכן גם כעת, כשטענותיו עולות ברביעית, לא טרח להצטייד בראיות אשר הוא עצמו סבר שיש בהן כדי להפוך את הקערה על פיה. כך, גם הפעם לא נתמכו הטענות במסמך מטעם המרכז למיפוי ישראל, בעניין מיקום כפר רות בשטח ההפקר, על אף שמדובר בסוגיה עובדתית הטעונה ראיות (</w:t>
      </w:r>
      <w:hyperlink r:id="rId11" w:history="1">
        <w:r w:rsidR="00CD25CB" w:rsidRPr="008928F9">
          <w:rPr>
            <w:rStyle w:val="Hyperlink"/>
            <w:rFonts w:ascii="David" w:hAnsi="David" w:cs="David"/>
            <w:color w:val="auto"/>
            <w:sz w:val="24"/>
            <w:szCs w:val="24"/>
            <w:u w:val="none"/>
            <w:rtl/>
          </w:rPr>
          <w:t>בג"צ 390/79</w:t>
        </w:r>
      </w:hyperlink>
      <w:r w:rsidR="00CD25CB" w:rsidRPr="008928F9">
        <w:rPr>
          <w:rFonts w:ascii="David" w:hAnsi="David" w:cs="David"/>
          <w:sz w:val="24"/>
          <w:szCs w:val="24"/>
          <w:rtl/>
        </w:rPr>
        <w:t xml:space="preserve"> </w:t>
      </w:r>
      <w:r w:rsidR="00CD25CB" w:rsidRPr="008928F9">
        <w:rPr>
          <w:rFonts w:ascii="David" w:hAnsi="David" w:cs="David" w:hint="cs"/>
          <w:b/>
          <w:bCs/>
          <w:sz w:val="24"/>
          <w:szCs w:val="24"/>
          <w:rtl/>
        </w:rPr>
        <w:t>דוויקאת נ' ממשלת ישראל</w:t>
      </w:r>
      <w:r w:rsidR="00CD25CB" w:rsidRPr="008928F9">
        <w:rPr>
          <w:rFonts w:ascii="David" w:hAnsi="David" w:cs="David" w:hint="cs"/>
          <w:sz w:val="24"/>
          <w:szCs w:val="24"/>
          <w:rtl/>
        </w:rPr>
        <w:t xml:space="preserve">  (22.10.79); </w:t>
      </w:r>
      <w:hyperlink r:id="rId12" w:history="1">
        <w:r w:rsidR="00CD25CB" w:rsidRPr="008928F9">
          <w:rPr>
            <w:rStyle w:val="Hyperlink"/>
            <w:rFonts w:ascii="David" w:hAnsi="David" w:cs="David"/>
            <w:color w:val="auto"/>
            <w:sz w:val="24"/>
            <w:szCs w:val="24"/>
            <w:u w:val="none"/>
            <w:rtl/>
          </w:rPr>
          <w:t>דנ"א 1995/11</w:t>
        </w:r>
      </w:hyperlink>
      <w:r w:rsidR="00CD25CB" w:rsidRPr="008928F9">
        <w:rPr>
          <w:rFonts w:ascii="David" w:hAnsi="David" w:cs="David"/>
          <w:sz w:val="24"/>
          <w:szCs w:val="24"/>
          <w:rtl/>
        </w:rPr>
        <w:t xml:space="preserve"> </w:t>
      </w:r>
      <w:r w:rsidR="00CD25CB" w:rsidRPr="008928F9">
        <w:rPr>
          <w:rFonts w:ascii="David" w:hAnsi="David" w:cs="David" w:hint="cs"/>
          <w:b/>
          <w:bCs/>
          <w:sz w:val="24"/>
          <w:szCs w:val="24"/>
          <w:rtl/>
        </w:rPr>
        <w:t>עומרי נ' מד"י</w:t>
      </w:r>
      <w:r w:rsidR="00CD25CB" w:rsidRPr="008928F9">
        <w:rPr>
          <w:rFonts w:ascii="David" w:hAnsi="David" w:cs="David" w:hint="cs"/>
          <w:sz w:val="24"/>
          <w:szCs w:val="24"/>
          <w:rtl/>
        </w:rPr>
        <w:t xml:space="preserve"> (14.8.11) ו</w:t>
      </w:r>
      <w:hyperlink r:id="rId13" w:history="1">
        <w:r w:rsidR="00CD25CB" w:rsidRPr="008928F9">
          <w:rPr>
            <w:rStyle w:val="Hyperlink"/>
            <w:rFonts w:ascii="David" w:hAnsi="David" w:cs="David"/>
            <w:color w:val="auto"/>
            <w:sz w:val="24"/>
            <w:szCs w:val="24"/>
            <w:u w:val="none"/>
            <w:rtl/>
          </w:rPr>
          <w:t>ע"א 2561/09</w:t>
        </w:r>
      </w:hyperlink>
      <w:r w:rsidR="00CD25CB" w:rsidRPr="008928F9">
        <w:rPr>
          <w:rFonts w:ascii="David" w:hAnsi="David" w:cs="David"/>
          <w:sz w:val="24"/>
          <w:szCs w:val="24"/>
          <w:rtl/>
        </w:rPr>
        <w:t xml:space="preserve">  </w:t>
      </w:r>
      <w:r w:rsidR="004B0161" w:rsidRPr="008928F9">
        <w:rPr>
          <w:rFonts w:ascii="David" w:hAnsi="David" w:cs="David"/>
          <w:b/>
          <w:bCs/>
          <w:sz w:val="24"/>
          <w:szCs w:val="24"/>
          <w:rtl/>
        </w:rPr>
        <w:t>עומרי נ' רשות הפיתוח</w:t>
      </w:r>
      <w:r w:rsidR="00CD25CB" w:rsidRPr="008928F9">
        <w:rPr>
          <w:rFonts w:ascii="David" w:hAnsi="David" w:cs="David"/>
          <w:sz w:val="24"/>
          <w:szCs w:val="24"/>
          <w:rtl/>
        </w:rPr>
        <w:t xml:space="preserve"> (24.2.11). כמו כן, </w:t>
      </w:r>
      <w:r w:rsidR="004B0161" w:rsidRPr="008928F9">
        <w:rPr>
          <w:rFonts w:ascii="David" w:hAnsi="David" w:cs="David" w:hint="cs"/>
          <w:sz w:val="24"/>
          <w:szCs w:val="24"/>
          <w:rtl/>
        </w:rPr>
        <w:t xml:space="preserve">גם כעת </w:t>
      </w:r>
      <w:r w:rsidR="00CD25CB" w:rsidRPr="008928F9">
        <w:rPr>
          <w:rFonts w:ascii="David" w:hAnsi="David" w:cs="David"/>
          <w:sz w:val="24"/>
          <w:szCs w:val="24"/>
          <w:rtl/>
        </w:rPr>
        <w:t xml:space="preserve">לא </w:t>
      </w:r>
      <w:r w:rsidR="00081CBD" w:rsidRPr="008928F9">
        <w:rPr>
          <w:rFonts w:ascii="David" w:hAnsi="David" w:cs="David" w:hint="cs"/>
          <w:sz w:val="24"/>
          <w:szCs w:val="24"/>
          <w:rtl/>
        </w:rPr>
        <w:t xml:space="preserve">הצטייד </w:t>
      </w:r>
      <w:r w:rsidR="00614E15">
        <w:rPr>
          <w:rFonts w:ascii="David" w:hAnsi="David" w:cs="David" w:hint="cs"/>
          <w:sz w:val="24"/>
          <w:szCs w:val="24"/>
          <w:rtl/>
        </w:rPr>
        <w:t xml:space="preserve">הנאשם </w:t>
      </w:r>
      <w:r w:rsidR="00081CBD" w:rsidRPr="008928F9">
        <w:rPr>
          <w:rFonts w:ascii="David" w:hAnsi="David" w:cs="David" w:hint="cs"/>
          <w:sz w:val="24"/>
          <w:szCs w:val="24"/>
          <w:rtl/>
        </w:rPr>
        <w:t>ב</w:t>
      </w:r>
      <w:r w:rsidR="00CD25CB" w:rsidRPr="008928F9">
        <w:rPr>
          <w:rFonts w:ascii="David" w:hAnsi="David" w:cs="David"/>
          <w:sz w:val="24"/>
          <w:szCs w:val="24"/>
          <w:rtl/>
        </w:rPr>
        <w:t xml:space="preserve">תעודת שר חוץ </w:t>
      </w:r>
      <w:r w:rsidR="004B0161" w:rsidRPr="008928F9">
        <w:rPr>
          <w:rFonts w:ascii="David" w:hAnsi="David" w:cs="David" w:hint="cs"/>
          <w:sz w:val="24"/>
          <w:szCs w:val="24"/>
          <w:rtl/>
        </w:rPr>
        <w:t>לתמיכה בטענותיו ל</w:t>
      </w:r>
      <w:r w:rsidR="00CD25CB" w:rsidRPr="008928F9">
        <w:rPr>
          <w:rFonts w:ascii="David" w:hAnsi="David" w:cs="David"/>
          <w:sz w:val="24"/>
          <w:szCs w:val="24"/>
          <w:rtl/>
        </w:rPr>
        <w:t xml:space="preserve">עניין מעמדו הריבוני של שטח ההפקר. </w:t>
      </w:r>
      <w:r w:rsidR="00614E15">
        <w:rPr>
          <w:rFonts w:ascii="David" w:hAnsi="David" w:cs="David" w:hint="cs"/>
          <w:sz w:val="24"/>
          <w:szCs w:val="24"/>
          <w:rtl/>
        </w:rPr>
        <w:t>ההתנהלות החזרתית בהעלאת הטענות ללא תמיכה ראייתית, מעוררת קושי רב.</w:t>
      </w:r>
    </w:p>
    <w:p w:rsidR="00614E15" w:rsidRPr="00614E15" w:rsidRDefault="00614E15" w:rsidP="00614E15">
      <w:pPr>
        <w:pStyle w:val="ad"/>
        <w:rPr>
          <w:rFonts w:ascii="David" w:hAnsi="David" w:cs="David"/>
          <w:b/>
          <w:bCs/>
          <w:sz w:val="24"/>
          <w:szCs w:val="24"/>
          <w:u w:val="single"/>
          <w:rtl/>
        </w:rPr>
      </w:pPr>
    </w:p>
    <w:p w:rsidR="00614E15" w:rsidRPr="008928F9" w:rsidRDefault="00614E15" w:rsidP="00614E15">
      <w:pPr>
        <w:pStyle w:val="ad"/>
        <w:spacing w:line="240" w:lineRule="auto"/>
        <w:ind w:left="-58"/>
        <w:jc w:val="both"/>
        <w:rPr>
          <w:rFonts w:ascii="David" w:hAnsi="David" w:cs="David"/>
          <w:b/>
          <w:bCs/>
          <w:sz w:val="24"/>
          <w:szCs w:val="24"/>
          <w:u w:val="single"/>
          <w:rtl/>
        </w:rPr>
      </w:pPr>
    </w:p>
    <w:p w:rsidR="00CD25CB" w:rsidRDefault="00CD25CB" w:rsidP="00CD25CB">
      <w:pPr>
        <w:pStyle w:val="ad"/>
        <w:spacing w:line="360" w:lineRule="auto"/>
        <w:ind w:left="-58"/>
        <w:jc w:val="both"/>
        <w:rPr>
          <w:rFonts w:ascii="David" w:hAnsi="David" w:cs="David"/>
          <w:b/>
          <w:bCs/>
          <w:sz w:val="24"/>
          <w:szCs w:val="24"/>
          <w:u w:val="single"/>
          <w:rtl/>
        </w:rPr>
      </w:pPr>
      <w:r>
        <w:rPr>
          <w:rFonts w:ascii="David" w:hAnsi="David" w:cs="David"/>
          <w:b/>
          <w:bCs/>
          <w:sz w:val="24"/>
          <w:szCs w:val="24"/>
          <w:u w:val="single"/>
          <w:rtl/>
        </w:rPr>
        <w:t>השתק שיפוטי</w:t>
      </w:r>
    </w:p>
    <w:p w:rsidR="00CD25CB" w:rsidRDefault="00CD25CB" w:rsidP="00CD25CB">
      <w:pPr>
        <w:pStyle w:val="ad"/>
        <w:spacing w:line="240" w:lineRule="auto"/>
        <w:ind w:left="-58"/>
        <w:jc w:val="both"/>
        <w:rPr>
          <w:rFonts w:ascii="David" w:hAnsi="David" w:cs="David"/>
          <w:b/>
          <w:bCs/>
          <w:sz w:val="24"/>
          <w:szCs w:val="24"/>
          <w:u w:val="single"/>
          <w:rtl/>
        </w:rPr>
      </w:pPr>
    </w:p>
    <w:p w:rsidR="00CD25CB" w:rsidRDefault="00CD25CB" w:rsidP="00CD25CB">
      <w:pPr>
        <w:pStyle w:val="ad"/>
        <w:numPr>
          <w:ilvl w:val="0"/>
          <w:numId w:val="1"/>
        </w:numPr>
        <w:spacing w:line="360" w:lineRule="auto"/>
        <w:ind w:left="-58" w:firstLine="0"/>
        <w:jc w:val="both"/>
        <w:rPr>
          <w:rFonts w:ascii="David" w:hAnsi="David" w:cs="David"/>
          <w:sz w:val="24"/>
          <w:szCs w:val="24"/>
          <w:rtl/>
        </w:rPr>
      </w:pPr>
      <w:r>
        <w:rPr>
          <w:rFonts w:ascii="David" w:hAnsi="David" w:cs="David"/>
          <w:sz w:val="24"/>
          <w:szCs w:val="24"/>
          <w:rtl/>
        </w:rPr>
        <w:t>עוד בהליך הראשון, הפניתי לפסק הדין שניתן ב</w:t>
      </w:r>
      <w:hyperlink r:id="rId14" w:history="1">
        <w:r>
          <w:rPr>
            <w:rStyle w:val="Hyperlink"/>
            <w:rFonts w:ascii="David" w:hAnsi="David" w:cs="David"/>
            <w:sz w:val="24"/>
            <w:szCs w:val="24"/>
            <w:rtl/>
          </w:rPr>
          <w:t>ת"פ 2031/04</w:t>
        </w:r>
      </w:hyperlink>
      <w:r>
        <w:rPr>
          <w:rFonts w:ascii="David" w:hAnsi="David" w:cs="David"/>
          <w:sz w:val="24"/>
          <w:szCs w:val="24"/>
          <w:rtl/>
        </w:rPr>
        <w:t xml:space="preserve"> </w:t>
      </w:r>
      <w:r>
        <w:rPr>
          <w:rFonts w:ascii="David" w:hAnsi="David" w:cs="David" w:hint="cs"/>
          <w:b/>
          <w:bCs/>
          <w:sz w:val="24"/>
          <w:szCs w:val="24"/>
          <w:rtl/>
        </w:rPr>
        <w:t>מד"י נ' אפרים</w:t>
      </w:r>
      <w:r>
        <w:rPr>
          <w:rFonts w:ascii="David" w:hAnsi="David" w:cs="David" w:hint="cs"/>
          <w:sz w:val="24"/>
          <w:szCs w:val="24"/>
          <w:rtl/>
        </w:rPr>
        <w:t xml:space="preserve"> [פורסם בנבו] (20.9.07), שם נקבע כי טעם רב יש בטענת המדינה לפיה חל על הנאשם </w:t>
      </w:r>
      <w:r w:rsidRPr="001615DE">
        <w:rPr>
          <w:rFonts w:ascii="David" w:hAnsi="David" w:cs="David"/>
          <w:sz w:val="24"/>
          <w:szCs w:val="24"/>
          <w:rtl/>
        </w:rPr>
        <w:t>"השתק שיפוטי"</w:t>
      </w:r>
      <w:r>
        <w:rPr>
          <w:rFonts w:ascii="David" w:hAnsi="David" w:cs="David" w:hint="cs"/>
          <w:sz w:val="24"/>
          <w:szCs w:val="24"/>
          <w:rtl/>
        </w:rPr>
        <w:t xml:space="preserve"> מלטעון נגד ריבונות ישראל ותחולת החוק הישראלי בכפר רות, שעה שרכש את זכות החכירה במקרקעין על פי הדין הישראלי, ואינו מכחיש כי הם מצויים בבעלות מדינת ישראל ורשות הפיתוח. בהקשר זה נאמרו בעניין </w:t>
      </w:r>
      <w:r>
        <w:rPr>
          <w:rFonts w:ascii="David" w:hAnsi="David" w:cs="David" w:hint="cs"/>
          <w:b/>
          <w:bCs/>
          <w:sz w:val="24"/>
          <w:szCs w:val="24"/>
          <w:rtl/>
        </w:rPr>
        <w:t xml:space="preserve">אפרים </w:t>
      </w:r>
      <w:r>
        <w:rPr>
          <w:rFonts w:ascii="David" w:hAnsi="David" w:cs="David" w:hint="cs"/>
          <w:sz w:val="24"/>
          <w:szCs w:val="24"/>
          <w:rtl/>
        </w:rPr>
        <w:t>דברים היפים לענייננו:</w:t>
      </w:r>
    </w:p>
    <w:p w:rsidR="00CD25CB" w:rsidRDefault="00CD25CB" w:rsidP="00CD25CB">
      <w:pPr>
        <w:ind w:left="720" w:right="567"/>
        <w:jc w:val="both"/>
        <w:rPr>
          <w:rFonts w:ascii="David" w:hAnsi="David"/>
          <w:b/>
          <w:bCs/>
        </w:rPr>
      </w:pPr>
      <w:r>
        <w:rPr>
          <w:rFonts w:ascii="David" w:hAnsi="David"/>
          <w:b/>
          <w:bCs/>
          <w:rtl/>
        </w:rPr>
        <w:t>המסקנה בעניננו עולה מהתנהגות הנתבעים עצמם, שקבלו על עצמם עול דיני המקרקעין במקום מושבם, ואין להם הזכות המוסרית והמשפטית לקבל את חלקו של הדין בלבד... המדובר בחברי מושב כפר רות, שקבלו חזקה במשק מאת המושב, שקבל בתורו חזקה ממנהל מקרקעי ישראל. טענתם כי דיני המדינה אינם חלים עליהם בכל הכרוך בדיני המקרקעין תשמיט מיד את הקרקע מתחת אחיזתם החוקית בה. שלהם, ושל אחרים המצויים באותו מצב. נדמה כי למען המטרה של הדיפת תביעת הפסקת ה"שמוש החורג" סברו הנתבעים כי הטענות המשפטיות כשרות כולן, ולא לקחו בחשבון כי טענתם חרב פיפיות היא.</w:t>
      </w:r>
    </w:p>
    <w:p w:rsidR="00CD25CB" w:rsidRDefault="00CD25CB" w:rsidP="00CD25CB">
      <w:pPr>
        <w:ind w:left="720" w:right="567"/>
        <w:jc w:val="both"/>
        <w:rPr>
          <w:rFonts w:ascii="David" w:hAnsi="David"/>
          <w:b/>
          <w:bCs/>
          <w:rtl/>
        </w:rPr>
      </w:pPr>
      <w:r>
        <w:rPr>
          <w:rFonts w:ascii="David" w:hAnsi="David"/>
          <w:b/>
          <w:bCs/>
          <w:rtl/>
        </w:rPr>
        <w:lastRenderedPageBreak/>
        <w:t>לא ניתן לאחוז בטענה כהגנה מפני תביעת המנהל, אך לקבל את הקרקע שניתנה מטעמו בעת ובעונה אחת.</w:t>
      </w:r>
    </w:p>
    <w:p w:rsidR="00CD25CB" w:rsidRDefault="00CD25CB" w:rsidP="00CD25CB">
      <w:pPr>
        <w:ind w:left="720" w:right="567"/>
        <w:jc w:val="both"/>
        <w:rPr>
          <w:rFonts w:ascii="David" w:hAnsi="David"/>
          <w:b/>
          <w:bCs/>
          <w:rtl/>
        </w:rPr>
      </w:pPr>
      <w:r>
        <w:rPr>
          <w:rFonts w:ascii="David" w:hAnsi="David"/>
          <w:b/>
          <w:bCs/>
          <w:rtl/>
        </w:rPr>
        <w:t>אוסיף לכך כי כל תוצאה אחרת, שלפיה יוכלו הנתבעים להוסיף ולהחזיק במקרקעין של המדינה, אך דיני מדינת ישראל לא יחולו עליהם בהקשר להחזקת המקרקעין, אינה מתקבלת על הדעת , ולא יהיה זה מוגזם להחשיבה כנוגדת את תקנת הציבור.</w:t>
      </w:r>
    </w:p>
    <w:p w:rsidR="00CD25CB" w:rsidRDefault="00CD25CB" w:rsidP="00CD25CB">
      <w:pPr>
        <w:ind w:right="567"/>
        <w:jc w:val="both"/>
        <w:rPr>
          <w:rFonts w:ascii="David" w:hAnsi="David"/>
          <w:b/>
          <w:bCs/>
          <w:rtl/>
        </w:rPr>
      </w:pPr>
    </w:p>
    <w:p w:rsidR="00CD25CB" w:rsidRDefault="00CD25CB" w:rsidP="00CD25CB">
      <w:pPr>
        <w:spacing w:line="360" w:lineRule="auto"/>
        <w:ind w:right="567"/>
        <w:jc w:val="both"/>
        <w:rPr>
          <w:rFonts w:ascii="David" w:hAnsi="David"/>
          <w:rtl/>
        </w:rPr>
      </w:pPr>
      <w:r>
        <w:rPr>
          <w:rFonts w:ascii="David" w:hAnsi="David"/>
          <w:b/>
          <w:bCs/>
          <w:rtl/>
        </w:rPr>
        <w:tab/>
      </w:r>
      <w:r>
        <w:rPr>
          <w:rFonts w:ascii="David" w:hAnsi="David"/>
          <w:rtl/>
        </w:rPr>
        <w:t xml:space="preserve">באותו אופן המתואר בעניין </w:t>
      </w:r>
      <w:r>
        <w:rPr>
          <w:rFonts w:ascii="David" w:hAnsi="David"/>
          <w:b/>
          <w:bCs/>
          <w:rtl/>
        </w:rPr>
        <w:t>אפרים</w:t>
      </w:r>
      <w:r>
        <w:rPr>
          <w:rFonts w:ascii="David" w:hAnsi="David"/>
          <w:rtl/>
        </w:rPr>
        <w:t>, אף בענייננו מנסה הנאשם לאחוז את החבל משתי קצותיו, כך שמחד בחר לרכוש זכויות במקרקעין מאת מדינת ישראל, ומאידך הוא כופר בריבונותה עליהם, ובתחולת הדין הישראלי. די ברור כי אופי הטענות מגמתי, ונועד אך ורק לחמוק מלתת את הדין על העבירה.</w:t>
      </w:r>
    </w:p>
    <w:p w:rsidR="00CD25CB" w:rsidRDefault="00CD25CB" w:rsidP="00CD25CB">
      <w:pPr>
        <w:spacing w:line="360" w:lineRule="auto"/>
        <w:ind w:right="567"/>
        <w:jc w:val="both"/>
        <w:rPr>
          <w:rFonts w:ascii="David" w:hAnsi="David"/>
          <w:rtl/>
        </w:rPr>
      </w:pPr>
    </w:p>
    <w:p w:rsidR="00CD25CB" w:rsidRDefault="00CD25CB" w:rsidP="00CD25CB">
      <w:pPr>
        <w:ind w:right="567"/>
        <w:jc w:val="both"/>
        <w:rPr>
          <w:rFonts w:ascii="David" w:hAnsi="David"/>
          <w:b/>
          <w:bCs/>
          <w:u w:val="single"/>
          <w:rtl/>
        </w:rPr>
      </w:pPr>
      <w:r>
        <w:rPr>
          <w:rFonts w:ascii="David" w:hAnsi="David"/>
          <w:b/>
          <w:bCs/>
          <w:u w:val="single"/>
          <w:rtl/>
        </w:rPr>
        <w:t>מיקוד המחלוקת</w:t>
      </w:r>
    </w:p>
    <w:p w:rsidR="00CD25CB" w:rsidRDefault="00CD25CB" w:rsidP="00CC5709">
      <w:pPr>
        <w:pStyle w:val="ad"/>
        <w:spacing w:line="240" w:lineRule="auto"/>
        <w:ind w:left="84"/>
        <w:jc w:val="both"/>
        <w:rPr>
          <w:rFonts w:ascii="David" w:hAnsi="David" w:cs="David"/>
          <w:sz w:val="24"/>
          <w:szCs w:val="24"/>
          <w:rtl/>
        </w:rPr>
      </w:pPr>
      <w:r>
        <w:rPr>
          <w:rFonts w:ascii="David" w:hAnsi="David" w:cs="David"/>
          <w:sz w:val="24"/>
          <w:szCs w:val="24"/>
          <w:rtl/>
        </w:rPr>
        <w:tab/>
      </w:r>
    </w:p>
    <w:p w:rsidR="00CD25CB" w:rsidRDefault="00CD25CB" w:rsidP="00CD25CB">
      <w:pPr>
        <w:pStyle w:val="ad"/>
        <w:numPr>
          <w:ilvl w:val="0"/>
          <w:numId w:val="1"/>
        </w:numPr>
        <w:spacing w:line="360" w:lineRule="auto"/>
        <w:ind w:left="-58" w:firstLine="0"/>
        <w:jc w:val="both"/>
        <w:rPr>
          <w:rFonts w:ascii="David" w:hAnsi="David" w:cs="David"/>
          <w:sz w:val="24"/>
          <w:szCs w:val="24"/>
        </w:rPr>
      </w:pPr>
      <w:r>
        <w:rPr>
          <w:rFonts w:ascii="David" w:hAnsi="David" w:cs="David"/>
          <w:sz w:val="24"/>
          <w:szCs w:val="24"/>
          <w:rtl/>
        </w:rPr>
        <w:t xml:space="preserve">למרבה מזלו של הנאשם, הפעם הודיעה התביעה כי אינה חולקת על כך שכפר רות אכן ממוקם בשטח ההפקר, אך טענתה היא כי גם בהינתן שכך הדבר, עדיין חל הדין הישראלי. אקדים ואציין כי לאור זאת, אין כל רלוונטיות להחלטה אליה מפנה הנאשם בעניין </w:t>
      </w:r>
      <w:r>
        <w:rPr>
          <w:rFonts w:ascii="David" w:hAnsi="David" w:cs="David"/>
          <w:b/>
          <w:bCs/>
          <w:sz w:val="24"/>
          <w:szCs w:val="24"/>
          <w:rtl/>
        </w:rPr>
        <w:t>עמירה</w:t>
      </w:r>
      <w:r>
        <w:rPr>
          <w:rFonts w:ascii="David" w:hAnsi="David" w:cs="David"/>
          <w:sz w:val="24"/>
          <w:szCs w:val="24"/>
          <w:rtl/>
        </w:rPr>
        <w:t xml:space="preserve"> (עתפ"ב 1204-04-23 </w:t>
      </w:r>
      <w:r>
        <w:rPr>
          <w:rFonts w:ascii="David" w:hAnsi="David" w:cs="David"/>
          <w:b/>
          <w:bCs/>
          <w:sz w:val="24"/>
          <w:szCs w:val="24"/>
          <w:rtl/>
        </w:rPr>
        <w:t>מד"י נ' עמירה</w:t>
      </w:r>
      <w:r>
        <w:rPr>
          <w:rFonts w:ascii="David" w:hAnsi="David" w:cs="David"/>
          <w:sz w:val="24"/>
          <w:szCs w:val="24"/>
          <w:rtl/>
        </w:rPr>
        <w:t xml:space="preserve"> (4.1.24), שכן באותו עניין התמקדה המחלוקת בשאלה העובדתית, מהו מיקומו של קו תחום השיפוט שנקבע בתוספת לצו סדרי שלטון ומשפט, והדיון בסוגיה זו הושב אל בית המשפט קמא, ללא קביעות כלשהן. לעומת זאת, בענייננו המחלוקת ממוקדת בשאלה המשפטית</w:t>
      </w:r>
      <w:r w:rsidR="006629D5">
        <w:rPr>
          <w:rFonts w:ascii="David" w:hAnsi="David" w:cs="David" w:hint="cs"/>
          <w:sz w:val="24"/>
          <w:szCs w:val="24"/>
          <w:rtl/>
        </w:rPr>
        <w:t xml:space="preserve"> הטהורה</w:t>
      </w:r>
      <w:r>
        <w:rPr>
          <w:rFonts w:ascii="David" w:hAnsi="David" w:cs="David"/>
          <w:sz w:val="24"/>
          <w:szCs w:val="24"/>
          <w:rtl/>
        </w:rPr>
        <w:t xml:space="preserve">: מהו הדין החל בשטח ההפקר. </w:t>
      </w:r>
    </w:p>
    <w:p w:rsidR="00CD25CB" w:rsidRDefault="00CD25CB" w:rsidP="00CC5709">
      <w:pPr>
        <w:pStyle w:val="ad"/>
        <w:spacing w:line="240" w:lineRule="auto"/>
        <w:ind w:left="-58"/>
        <w:jc w:val="both"/>
        <w:rPr>
          <w:rFonts w:ascii="David" w:hAnsi="David" w:cs="David"/>
          <w:sz w:val="24"/>
          <w:szCs w:val="24"/>
        </w:rPr>
      </w:pPr>
    </w:p>
    <w:p w:rsidR="00CD25CB" w:rsidRDefault="00CD25CB" w:rsidP="00CD25CB">
      <w:pPr>
        <w:pStyle w:val="ad"/>
        <w:spacing w:line="360" w:lineRule="auto"/>
        <w:ind w:left="-58" w:firstLine="778"/>
        <w:jc w:val="both"/>
        <w:rPr>
          <w:rFonts w:ascii="David" w:hAnsi="David" w:cs="David"/>
          <w:sz w:val="24"/>
          <w:szCs w:val="24"/>
          <w:rtl/>
        </w:rPr>
      </w:pPr>
      <w:r>
        <w:rPr>
          <w:rFonts w:ascii="David" w:hAnsi="David" w:cs="David"/>
          <w:sz w:val="24"/>
          <w:szCs w:val="24"/>
          <w:rtl/>
        </w:rPr>
        <w:t>משכך, ונוכח הסכמת התביעה כאמור, נחסך הצורך לברר את מיקומו המדויק של כפר רות, ולמרות מחדלו של הנאשם אצא מתוך ההנחה לפיה הוא מצוי בשטח ההפקר. כעת, נפנה לבירור שאלת הדין החל.</w:t>
      </w:r>
    </w:p>
    <w:p w:rsidR="00CD25CB" w:rsidRDefault="00CD25CB" w:rsidP="00CC5709">
      <w:pPr>
        <w:jc w:val="both"/>
        <w:rPr>
          <w:rFonts w:ascii="David" w:hAnsi="David"/>
          <w:b/>
          <w:bCs/>
          <w:u w:val="single"/>
          <w:rtl/>
        </w:rPr>
      </w:pPr>
    </w:p>
    <w:p w:rsidR="00CD25CB" w:rsidRDefault="00CD25CB" w:rsidP="00CD25CB">
      <w:pPr>
        <w:spacing w:line="360" w:lineRule="auto"/>
        <w:jc w:val="both"/>
        <w:rPr>
          <w:rFonts w:ascii="David" w:hAnsi="David"/>
          <w:b/>
          <w:bCs/>
          <w:u w:val="single"/>
          <w:rtl/>
        </w:rPr>
      </w:pPr>
      <w:r>
        <w:rPr>
          <w:rFonts w:ascii="David" w:hAnsi="David"/>
          <w:b/>
          <w:bCs/>
          <w:u w:val="single"/>
          <w:rtl/>
        </w:rPr>
        <w:t>תחולת הדין הישראלי בשטח ההפקר</w:t>
      </w:r>
    </w:p>
    <w:p w:rsidR="00CC5709" w:rsidRDefault="00CC5709" w:rsidP="00CC5709">
      <w:pPr>
        <w:jc w:val="both"/>
        <w:rPr>
          <w:rFonts w:ascii="David" w:hAnsi="David"/>
          <w:b/>
          <w:bCs/>
          <w:u w:val="single"/>
          <w:rtl/>
        </w:rPr>
      </w:pPr>
    </w:p>
    <w:p w:rsidR="00CD25CB" w:rsidRDefault="00CD25CB" w:rsidP="009566BE">
      <w:pPr>
        <w:pStyle w:val="ad"/>
        <w:numPr>
          <w:ilvl w:val="0"/>
          <w:numId w:val="1"/>
        </w:numPr>
        <w:spacing w:line="360" w:lineRule="auto"/>
        <w:ind w:left="-58" w:firstLine="0"/>
        <w:jc w:val="both"/>
        <w:rPr>
          <w:rFonts w:ascii="David" w:hAnsi="David" w:cs="David"/>
          <w:sz w:val="24"/>
          <w:szCs w:val="24"/>
          <w:rtl/>
        </w:rPr>
      </w:pPr>
      <w:r>
        <w:rPr>
          <w:rFonts w:ascii="David" w:hAnsi="David" w:cs="David"/>
          <w:sz w:val="24"/>
          <w:szCs w:val="24"/>
          <w:rtl/>
        </w:rPr>
        <w:t>הנאשם טוען כי כתב האישום הוגש ב"חוסר סמכות", שכן הדין הישראלי לא חל על כפר רות, וכי יש לדון אותו על פי הדין שחל טרם הקמת המדינה, היינו: פקודת בניין ערים משנת 1936. טענה זו לא ניתן לקבל, ולו מן הטעם שהפקודה בוטלה כליל עוד בשנת 1965 לפי הוראת סעיף 270 לחוק התו"ב. בכל מקרה, לא ברור כיצד היה בה כדי לסייע ל</w:t>
      </w:r>
      <w:r w:rsidR="009566BE">
        <w:rPr>
          <w:rFonts w:ascii="David" w:hAnsi="David" w:cs="David"/>
          <w:sz w:val="24"/>
          <w:szCs w:val="24"/>
          <w:rtl/>
        </w:rPr>
        <w:t>נאשם, שהרי גם מכוחה התקיימ</w:t>
      </w:r>
      <w:r w:rsidR="009566BE">
        <w:rPr>
          <w:rFonts w:ascii="David" w:hAnsi="David" w:cs="David" w:hint="cs"/>
          <w:sz w:val="24"/>
          <w:szCs w:val="24"/>
          <w:rtl/>
        </w:rPr>
        <w:t>ו</w:t>
      </w:r>
      <w:r>
        <w:rPr>
          <w:rFonts w:ascii="David" w:hAnsi="David" w:cs="David"/>
          <w:sz w:val="24"/>
          <w:szCs w:val="24"/>
          <w:rtl/>
        </w:rPr>
        <w:t xml:space="preserve"> עביר</w:t>
      </w:r>
      <w:r w:rsidR="009566BE">
        <w:rPr>
          <w:rFonts w:ascii="David" w:hAnsi="David" w:cs="David" w:hint="cs"/>
          <w:sz w:val="24"/>
          <w:szCs w:val="24"/>
          <w:rtl/>
        </w:rPr>
        <w:t>ות</w:t>
      </w:r>
      <w:r>
        <w:rPr>
          <w:rFonts w:ascii="David" w:hAnsi="David" w:cs="David"/>
          <w:sz w:val="24"/>
          <w:szCs w:val="24"/>
          <w:rtl/>
        </w:rPr>
        <w:t xml:space="preserve"> פלילי</w:t>
      </w:r>
      <w:r w:rsidR="009566BE">
        <w:rPr>
          <w:rFonts w:ascii="David" w:hAnsi="David" w:cs="David" w:hint="cs"/>
          <w:sz w:val="24"/>
          <w:szCs w:val="24"/>
          <w:rtl/>
        </w:rPr>
        <w:t>ו</w:t>
      </w:r>
      <w:r w:rsidR="009566BE">
        <w:rPr>
          <w:rFonts w:ascii="David" w:hAnsi="David" w:cs="David"/>
          <w:sz w:val="24"/>
          <w:szCs w:val="24"/>
          <w:rtl/>
        </w:rPr>
        <w:t>ת</w:t>
      </w:r>
      <w:r w:rsidR="009566BE">
        <w:rPr>
          <w:rFonts w:ascii="David" w:hAnsi="David" w:cs="David" w:hint="cs"/>
          <w:sz w:val="24"/>
          <w:szCs w:val="24"/>
          <w:rtl/>
        </w:rPr>
        <w:t xml:space="preserve">, </w:t>
      </w:r>
      <w:r>
        <w:rPr>
          <w:rFonts w:ascii="David" w:hAnsi="David" w:cs="David"/>
          <w:sz w:val="24"/>
          <w:szCs w:val="24"/>
          <w:rtl/>
        </w:rPr>
        <w:t xml:space="preserve">כקבוע בסעיף 35 שם.  </w:t>
      </w:r>
    </w:p>
    <w:p w:rsidR="00CD25CB" w:rsidRDefault="00CD25CB" w:rsidP="00CC5709">
      <w:pPr>
        <w:pStyle w:val="ad"/>
        <w:spacing w:line="240" w:lineRule="auto"/>
        <w:ind w:left="-58"/>
        <w:jc w:val="both"/>
        <w:rPr>
          <w:rFonts w:ascii="David" w:hAnsi="David" w:cs="David"/>
          <w:sz w:val="24"/>
          <w:szCs w:val="24"/>
        </w:rPr>
      </w:pPr>
    </w:p>
    <w:p w:rsidR="00CD25CB" w:rsidRPr="008D5B69" w:rsidRDefault="00CD25CB" w:rsidP="001428A1">
      <w:pPr>
        <w:pStyle w:val="ad"/>
        <w:numPr>
          <w:ilvl w:val="0"/>
          <w:numId w:val="1"/>
        </w:numPr>
        <w:spacing w:line="360" w:lineRule="auto"/>
        <w:ind w:left="-58" w:firstLine="0"/>
        <w:jc w:val="both"/>
        <w:rPr>
          <w:rFonts w:ascii="David" w:hAnsi="David" w:cs="David"/>
          <w:sz w:val="24"/>
          <w:szCs w:val="24"/>
        </w:rPr>
      </w:pPr>
      <w:r>
        <w:rPr>
          <w:rFonts w:ascii="David" w:hAnsi="David" w:cs="David"/>
          <w:sz w:val="24"/>
          <w:szCs w:val="24"/>
          <w:rtl/>
        </w:rPr>
        <w:t>בניגוד גמור לטענ</w:t>
      </w:r>
      <w:r w:rsidR="009566BE">
        <w:rPr>
          <w:rFonts w:ascii="David" w:hAnsi="David" w:cs="David" w:hint="cs"/>
          <w:sz w:val="24"/>
          <w:szCs w:val="24"/>
          <w:rtl/>
        </w:rPr>
        <w:t>ת הנאשם</w:t>
      </w:r>
      <w:r>
        <w:rPr>
          <w:rFonts w:ascii="David" w:hAnsi="David" w:cs="David"/>
          <w:sz w:val="24"/>
          <w:szCs w:val="24"/>
          <w:rtl/>
        </w:rPr>
        <w:t xml:space="preserve">, וכפי שנכתב בהחלטה בהליך הראשון, פעמים רבות נקבע כי שטח ההפקר מצוי בריבונות ישראל וחל עליו הדין הישראלי. </w:t>
      </w:r>
      <w:r w:rsidR="009566BE">
        <w:rPr>
          <w:rFonts w:ascii="David" w:hAnsi="David" w:cs="David" w:hint="cs"/>
          <w:sz w:val="24"/>
          <w:szCs w:val="24"/>
          <w:rtl/>
        </w:rPr>
        <w:t>ב</w:t>
      </w:r>
      <w:r>
        <w:rPr>
          <w:rFonts w:ascii="David" w:hAnsi="David" w:cs="David"/>
          <w:sz w:val="24"/>
          <w:szCs w:val="24"/>
          <w:rtl/>
        </w:rPr>
        <w:t>חלק מן ה</w:t>
      </w:r>
      <w:r w:rsidR="009566BE">
        <w:rPr>
          <w:rFonts w:ascii="David" w:hAnsi="David" w:cs="David" w:hint="cs"/>
          <w:sz w:val="24"/>
          <w:szCs w:val="24"/>
          <w:rtl/>
        </w:rPr>
        <w:t>מקרים, עמד לדיון עניינו של ה</w:t>
      </w:r>
      <w:r>
        <w:rPr>
          <w:rFonts w:ascii="David" w:hAnsi="David" w:cs="David"/>
          <w:sz w:val="24"/>
          <w:szCs w:val="24"/>
          <w:rtl/>
        </w:rPr>
        <w:t xml:space="preserve">שטח המפורז בתוככי ירושלים </w:t>
      </w:r>
      <w:r w:rsidRPr="001428A1">
        <w:rPr>
          <w:rFonts w:ascii="David" w:hAnsi="David" w:cs="David"/>
          <w:sz w:val="24"/>
          <w:szCs w:val="24"/>
          <w:rtl/>
        </w:rPr>
        <w:t>(</w:t>
      </w:r>
      <w:hyperlink r:id="rId15" w:history="1">
        <w:r w:rsidRPr="001428A1">
          <w:rPr>
            <w:rStyle w:val="Hyperlink"/>
            <w:rFonts w:ascii="David" w:hAnsi="David" w:cs="David"/>
            <w:color w:val="auto"/>
            <w:sz w:val="24"/>
            <w:szCs w:val="24"/>
            <w:u w:val="none"/>
            <w:rtl/>
          </w:rPr>
          <w:t>תו"ח 40689-03-14</w:t>
        </w:r>
      </w:hyperlink>
      <w:r w:rsidRPr="001428A1">
        <w:rPr>
          <w:rFonts w:ascii="David" w:hAnsi="David" w:cs="David"/>
          <w:sz w:val="24"/>
          <w:szCs w:val="24"/>
          <w:rtl/>
        </w:rPr>
        <w:t xml:space="preserve"> </w:t>
      </w:r>
      <w:r w:rsidRPr="001428A1">
        <w:rPr>
          <w:rFonts w:ascii="David" w:hAnsi="David" w:cs="David" w:hint="cs"/>
          <w:b/>
          <w:bCs/>
          <w:sz w:val="24"/>
          <w:szCs w:val="24"/>
          <w:rtl/>
        </w:rPr>
        <w:t>מד"י נ' עגמי</w:t>
      </w:r>
      <w:r w:rsidRPr="001428A1">
        <w:rPr>
          <w:rFonts w:ascii="David" w:hAnsi="David" w:cs="David" w:hint="cs"/>
          <w:sz w:val="24"/>
          <w:szCs w:val="24"/>
          <w:rtl/>
        </w:rPr>
        <w:t xml:space="preserve"> (31.12.15); </w:t>
      </w:r>
      <w:hyperlink r:id="rId16" w:history="1">
        <w:r w:rsidRPr="001428A1">
          <w:rPr>
            <w:rStyle w:val="Hyperlink"/>
            <w:rFonts w:ascii="David" w:hAnsi="David" w:cs="David"/>
            <w:color w:val="auto"/>
            <w:sz w:val="24"/>
            <w:szCs w:val="24"/>
            <w:u w:val="none"/>
            <w:rtl/>
          </w:rPr>
          <w:t>ת"ת 14670/99</w:t>
        </w:r>
      </w:hyperlink>
      <w:r w:rsidRPr="001428A1">
        <w:rPr>
          <w:rFonts w:ascii="David" w:hAnsi="David" w:cs="David"/>
          <w:sz w:val="24"/>
          <w:szCs w:val="24"/>
          <w:rtl/>
        </w:rPr>
        <w:t xml:space="preserve"> </w:t>
      </w:r>
      <w:r w:rsidRPr="001428A1">
        <w:rPr>
          <w:rFonts w:ascii="David" w:hAnsi="David" w:cs="David" w:hint="cs"/>
          <w:b/>
          <w:bCs/>
          <w:sz w:val="24"/>
          <w:szCs w:val="24"/>
          <w:rtl/>
        </w:rPr>
        <w:t>מד"י נ' פריטש</w:t>
      </w:r>
      <w:r w:rsidRPr="001428A1">
        <w:rPr>
          <w:rFonts w:ascii="David" w:hAnsi="David" w:cs="David" w:hint="cs"/>
          <w:sz w:val="24"/>
          <w:szCs w:val="24"/>
          <w:rtl/>
        </w:rPr>
        <w:t xml:space="preserve"> (22.8.01); </w:t>
      </w:r>
      <w:hyperlink r:id="rId17" w:history="1">
        <w:r w:rsidRPr="001428A1">
          <w:rPr>
            <w:rStyle w:val="Hyperlink"/>
            <w:rFonts w:ascii="David" w:hAnsi="David" w:cs="David"/>
            <w:color w:val="auto"/>
            <w:sz w:val="24"/>
            <w:szCs w:val="24"/>
            <w:u w:val="none"/>
            <w:rtl/>
          </w:rPr>
          <w:t>ה"פ (מח' י-ם) 44419-02-11</w:t>
        </w:r>
      </w:hyperlink>
      <w:r w:rsidRPr="001428A1">
        <w:rPr>
          <w:rFonts w:ascii="David" w:hAnsi="David" w:cs="David"/>
          <w:sz w:val="24"/>
          <w:szCs w:val="24"/>
          <w:rtl/>
        </w:rPr>
        <w:t xml:space="preserve"> </w:t>
      </w:r>
      <w:r w:rsidRPr="001428A1">
        <w:rPr>
          <w:rFonts w:ascii="David" w:hAnsi="David" w:cs="David" w:hint="cs"/>
          <w:b/>
          <w:bCs/>
          <w:sz w:val="24"/>
          <w:szCs w:val="24"/>
          <w:rtl/>
        </w:rPr>
        <w:t xml:space="preserve">שבירו נ' </w:t>
      </w:r>
      <w:r>
        <w:rPr>
          <w:rFonts w:ascii="David" w:hAnsi="David" w:cs="David" w:hint="cs"/>
          <w:b/>
          <w:bCs/>
          <w:sz w:val="24"/>
          <w:szCs w:val="24"/>
          <w:rtl/>
        </w:rPr>
        <w:t>האפוטרופוס לנכסי נפקדים</w:t>
      </w:r>
      <w:r w:rsidR="001428A1">
        <w:rPr>
          <w:rFonts w:ascii="David" w:hAnsi="David" w:cs="David" w:hint="cs"/>
          <w:sz w:val="24"/>
          <w:szCs w:val="24"/>
          <w:rtl/>
        </w:rPr>
        <w:t xml:space="preserve"> </w:t>
      </w:r>
      <w:r>
        <w:rPr>
          <w:rFonts w:ascii="David" w:hAnsi="David" w:cs="David" w:hint="cs"/>
          <w:sz w:val="24"/>
          <w:szCs w:val="24"/>
          <w:rtl/>
        </w:rPr>
        <w:lastRenderedPageBreak/>
        <w:t xml:space="preserve">(10.3.14) </w:t>
      </w:r>
      <w:r w:rsidR="009566BE">
        <w:rPr>
          <w:rFonts w:ascii="David" w:hAnsi="David" w:cs="David" w:hint="cs"/>
          <w:sz w:val="24"/>
          <w:szCs w:val="24"/>
          <w:rtl/>
        </w:rPr>
        <w:t>ובחלקם נדון ה</w:t>
      </w:r>
      <w:r>
        <w:rPr>
          <w:rFonts w:ascii="David" w:hAnsi="David" w:cs="David" w:hint="cs"/>
          <w:sz w:val="24"/>
          <w:szCs w:val="24"/>
          <w:rtl/>
        </w:rPr>
        <w:t xml:space="preserve">שטח המפורז ברמת הגולן טרם סיפוחה לפי </w:t>
      </w:r>
      <w:hyperlink r:id="rId18" w:history="1">
        <w:r w:rsidRPr="008D5B69">
          <w:rPr>
            <w:rStyle w:val="Hyperlink"/>
            <w:rFonts w:ascii="David" w:hAnsi="David" w:cs="David"/>
            <w:color w:val="auto"/>
            <w:sz w:val="24"/>
            <w:szCs w:val="24"/>
            <w:u w:val="none"/>
            <w:rtl/>
          </w:rPr>
          <w:t>חוק רמת הגולן</w:t>
        </w:r>
      </w:hyperlink>
      <w:r w:rsidRPr="008D5B69">
        <w:rPr>
          <w:rFonts w:ascii="David" w:hAnsi="David" w:cs="David"/>
          <w:sz w:val="24"/>
          <w:szCs w:val="24"/>
          <w:rtl/>
        </w:rPr>
        <w:t xml:space="preserve"> (</w:t>
      </w:r>
      <w:hyperlink r:id="rId19" w:history="1">
        <w:r w:rsidRPr="008D5B69">
          <w:rPr>
            <w:rStyle w:val="Hyperlink"/>
            <w:rFonts w:ascii="David" w:hAnsi="David" w:cs="David"/>
            <w:color w:val="auto"/>
            <w:sz w:val="24"/>
            <w:szCs w:val="24"/>
            <w:u w:val="none"/>
            <w:rtl/>
          </w:rPr>
          <w:t>ע"פ 126/51</w:t>
        </w:r>
      </w:hyperlink>
      <w:r w:rsidRPr="008D5B69">
        <w:rPr>
          <w:rFonts w:ascii="David" w:hAnsi="David" w:cs="David"/>
          <w:sz w:val="24"/>
          <w:szCs w:val="24"/>
          <w:rtl/>
        </w:rPr>
        <w:t xml:space="preserve"> </w:t>
      </w:r>
      <w:r w:rsidRPr="008D5B69">
        <w:rPr>
          <w:rFonts w:ascii="David" w:hAnsi="David" w:cs="David" w:hint="cs"/>
          <w:b/>
          <w:bCs/>
          <w:sz w:val="24"/>
          <w:szCs w:val="24"/>
          <w:rtl/>
        </w:rPr>
        <w:t>אל טורעאני נ' מד"י</w:t>
      </w:r>
      <w:r w:rsidR="001428A1">
        <w:rPr>
          <w:rFonts w:ascii="David" w:hAnsi="David" w:cs="David" w:hint="cs"/>
          <w:sz w:val="24"/>
          <w:szCs w:val="24"/>
          <w:rtl/>
        </w:rPr>
        <w:t xml:space="preserve"> </w:t>
      </w:r>
      <w:r w:rsidRPr="008D5B69">
        <w:rPr>
          <w:rFonts w:ascii="David" w:hAnsi="David" w:cs="David" w:hint="cs"/>
          <w:sz w:val="24"/>
          <w:szCs w:val="24"/>
          <w:rtl/>
        </w:rPr>
        <w:t>(31.12.52), אך מרבית</w:t>
      </w:r>
      <w:r w:rsidR="008D5B69">
        <w:rPr>
          <w:rFonts w:ascii="David" w:hAnsi="David" w:cs="David" w:hint="cs"/>
          <w:sz w:val="24"/>
          <w:szCs w:val="24"/>
          <w:rtl/>
        </w:rPr>
        <w:t xml:space="preserve"> ההחלטות שאותרו</w:t>
      </w:r>
      <w:r w:rsidRPr="008D5B69">
        <w:rPr>
          <w:rFonts w:ascii="David" w:hAnsi="David" w:cs="David" w:hint="cs"/>
          <w:sz w:val="24"/>
          <w:szCs w:val="24"/>
          <w:rtl/>
        </w:rPr>
        <w:t xml:space="preserve"> מתייחסות לשטח ההפקר שבאזור לטרון, הוא האזור שבו מצוי כפר רות (ע"</w:t>
      </w:r>
      <w:hyperlink r:id="rId20" w:history="1">
        <w:r w:rsidRPr="008D5B69">
          <w:rPr>
            <w:rStyle w:val="Hyperlink"/>
            <w:rFonts w:ascii="David" w:hAnsi="David" w:cs="David"/>
            <w:color w:val="auto"/>
            <w:sz w:val="24"/>
            <w:szCs w:val="24"/>
            <w:u w:val="none"/>
            <w:rtl/>
          </w:rPr>
          <w:t>פ (ת"א) 7066/99</w:t>
        </w:r>
      </w:hyperlink>
      <w:r w:rsidRPr="008D5B69">
        <w:rPr>
          <w:rFonts w:ascii="David" w:hAnsi="David" w:cs="David"/>
          <w:sz w:val="24"/>
          <w:szCs w:val="24"/>
          <w:rtl/>
        </w:rPr>
        <w:t xml:space="preserve"> </w:t>
      </w:r>
      <w:r w:rsidRPr="008D5B69">
        <w:rPr>
          <w:rFonts w:ascii="David" w:hAnsi="David" w:cs="David" w:hint="cs"/>
          <w:b/>
          <w:bCs/>
          <w:sz w:val="24"/>
          <w:szCs w:val="24"/>
          <w:rtl/>
        </w:rPr>
        <w:t xml:space="preserve">בנטוב נ' מד"י </w:t>
      </w:r>
      <w:r w:rsidRPr="001428A1">
        <w:rPr>
          <w:rFonts w:ascii="David" w:hAnsi="David" w:cs="David" w:hint="cs"/>
          <w:sz w:val="24"/>
          <w:szCs w:val="24"/>
          <w:rtl/>
        </w:rPr>
        <w:t>(4.6.00)</w:t>
      </w:r>
      <w:r w:rsidRPr="008D5B69">
        <w:rPr>
          <w:rFonts w:ascii="David" w:hAnsi="David" w:cs="David" w:hint="cs"/>
          <w:sz w:val="24"/>
          <w:szCs w:val="24"/>
          <w:rtl/>
        </w:rPr>
        <w:t xml:space="preserve">; </w:t>
      </w:r>
      <w:hyperlink r:id="rId21" w:history="1">
        <w:r w:rsidRPr="008D5B69">
          <w:rPr>
            <w:rStyle w:val="Hyperlink"/>
            <w:rFonts w:ascii="David" w:hAnsi="David" w:cs="David"/>
            <w:color w:val="auto"/>
            <w:sz w:val="24"/>
            <w:szCs w:val="24"/>
            <w:u w:val="none"/>
            <w:rtl/>
          </w:rPr>
          <w:t>חע"מ 5297/03</w:t>
        </w:r>
      </w:hyperlink>
      <w:r w:rsidRPr="008D5B69">
        <w:rPr>
          <w:rFonts w:ascii="David" w:hAnsi="David" w:cs="David"/>
          <w:sz w:val="24"/>
          <w:szCs w:val="24"/>
          <w:rtl/>
        </w:rPr>
        <w:t xml:space="preserve"> </w:t>
      </w:r>
      <w:r w:rsidRPr="008D5B69">
        <w:rPr>
          <w:rFonts w:ascii="David" w:hAnsi="David" w:cs="David" w:hint="cs"/>
          <w:b/>
          <w:bCs/>
          <w:sz w:val="24"/>
          <w:szCs w:val="24"/>
          <w:rtl/>
        </w:rPr>
        <w:t>ו' מקומית לודים  נ' טל</w:t>
      </w:r>
      <w:r w:rsidRPr="008D5B69">
        <w:rPr>
          <w:rFonts w:ascii="David" w:hAnsi="David" w:cs="David" w:hint="cs"/>
          <w:sz w:val="24"/>
          <w:szCs w:val="24"/>
          <w:rtl/>
        </w:rPr>
        <w:t xml:space="preserve"> (14.7.09); </w:t>
      </w:r>
      <w:hyperlink r:id="rId22" w:history="1">
        <w:r w:rsidRPr="008D5B69">
          <w:rPr>
            <w:rStyle w:val="Hyperlink"/>
            <w:rFonts w:ascii="David" w:hAnsi="David" w:cs="David"/>
            <w:color w:val="auto"/>
            <w:sz w:val="24"/>
            <w:szCs w:val="24"/>
            <w:u w:val="none"/>
            <w:rtl/>
          </w:rPr>
          <w:t>חע"מ 90872/05</w:t>
        </w:r>
      </w:hyperlink>
      <w:r w:rsidRPr="008D5B69">
        <w:rPr>
          <w:rFonts w:ascii="David" w:hAnsi="David" w:cs="David"/>
          <w:sz w:val="24"/>
          <w:szCs w:val="24"/>
          <w:rtl/>
        </w:rPr>
        <w:t xml:space="preserve"> </w:t>
      </w:r>
      <w:r w:rsidRPr="008D5B69">
        <w:rPr>
          <w:rFonts w:ascii="David" w:hAnsi="David" w:cs="David" w:hint="cs"/>
          <w:b/>
          <w:bCs/>
          <w:sz w:val="24"/>
          <w:szCs w:val="24"/>
          <w:rtl/>
        </w:rPr>
        <w:t>ו' מקומית לודים נ' מרדכי</w:t>
      </w:r>
      <w:r w:rsidRPr="008D5B69">
        <w:rPr>
          <w:rFonts w:ascii="David" w:hAnsi="David" w:cs="David" w:hint="cs"/>
          <w:sz w:val="24"/>
          <w:szCs w:val="24"/>
          <w:rtl/>
        </w:rPr>
        <w:t xml:space="preserve"> (13.7.10).  </w:t>
      </w:r>
    </w:p>
    <w:p w:rsidR="00CD25CB" w:rsidRPr="008D5B69" w:rsidRDefault="00CD25CB" w:rsidP="00CD25CB">
      <w:pPr>
        <w:pStyle w:val="ad"/>
        <w:spacing w:line="240" w:lineRule="auto"/>
        <w:ind w:left="-58"/>
        <w:jc w:val="both"/>
        <w:rPr>
          <w:rFonts w:ascii="David" w:hAnsi="David" w:cs="David"/>
          <w:sz w:val="24"/>
          <w:szCs w:val="24"/>
        </w:rPr>
      </w:pPr>
    </w:p>
    <w:p w:rsidR="00CD25CB" w:rsidRPr="008D5B69" w:rsidRDefault="00CD25CB" w:rsidP="001428A1">
      <w:pPr>
        <w:pStyle w:val="ad"/>
        <w:numPr>
          <w:ilvl w:val="0"/>
          <w:numId w:val="1"/>
        </w:numPr>
        <w:spacing w:line="360" w:lineRule="auto"/>
        <w:ind w:left="-58" w:firstLine="0"/>
        <w:jc w:val="both"/>
        <w:rPr>
          <w:rFonts w:ascii="David" w:hAnsi="David" w:cs="David"/>
          <w:sz w:val="24"/>
          <w:szCs w:val="24"/>
        </w:rPr>
      </w:pPr>
      <w:r w:rsidRPr="008D5B69">
        <w:rPr>
          <w:rFonts w:ascii="David" w:hAnsi="David" w:cs="David"/>
          <w:sz w:val="24"/>
          <w:szCs w:val="24"/>
          <w:rtl/>
        </w:rPr>
        <w:t xml:space="preserve">אם לא די בכך, גם לגבי כפר רות עצמו, נקבע במפורש כי בשטחו חל הדין הישראלי (עניין </w:t>
      </w:r>
      <w:r w:rsidRPr="008D5B69">
        <w:rPr>
          <w:rFonts w:ascii="David" w:hAnsi="David" w:cs="David"/>
          <w:b/>
          <w:bCs/>
          <w:sz w:val="24"/>
          <w:szCs w:val="24"/>
          <w:rtl/>
        </w:rPr>
        <w:t>אפרים</w:t>
      </w:r>
      <w:r w:rsidRPr="008D5B69">
        <w:rPr>
          <w:rFonts w:ascii="David" w:hAnsi="David" w:cs="David"/>
          <w:sz w:val="24"/>
          <w:szCs w:val="24"/>
          <w:rtl/>
        </w:rPr>
        <w:t xml:space="preserve">; </w:t>
      </w:r>
      <w:hyperlink r:id="rId23" w:history="1">
        <w:r w:rsidRPr="008D5B69">
          <w:rPr>
            <w:rStyle w:val="Hyperlink"/>
            <w:rFonts w:ascii="David" w:hAnsi="David" w:cs="David"/>
            <w:color w:val="auto"/>
            <w:sz w:val="24"/>
            <w:szCs w:val="24"/>
            <w:u w:val="none"/>
            <w:rtl/>
          </w:rPr>
          <w:t>ב"ש 2378/06</w:t>
        </w:r>
      </w:hyperlink>
      <w:r w:rsidRPr="008D5B69">
        <w:rPr>
          <w:rFonts w:ascii="David" w:hAnsi="David" w:cs="David"/>
          <w:sz w:val="24"/>
          <w:szCs w:val="24"/>
          <w:rtl/>
        </w:rPr>
        <w:t xml:space="preserve"> </w:t>
      </w:r>
      <w:r w:rsidRPr="008D5B69">
        <w:rPr>
          <w:rFonts w:ascii="David" w:hAnsi="David" w:cs="David" w:hint="cs"/>
          <w:b/>
          <w:bCs/>
          <w:sz w:val="24"/>
          <w:szCs w:val="24"/>
          <w:rtl/>
        </w:rPr>
        <w:t>ו' מקומית רמלה נ' מרדכי</w:t>
      </w:r>
      <w:r w:rsidRPr="008D5B69">
        <w:rPr>
          <w:rFonts w:ascii="David" w:hAnsi="David" w:cs="David" w:hint="cs"/>
          <w:sz w:val="24"/>
          <w:szCs w:val="24"/>
          <w:rtl/>
        </w:rPr>
        <w:t xml:space="preserve"> (14.5.06); ת"פ 2243/03 </w:t>
      </w:r>
      <w:r w:rsidRPr="008D5B69">
        <w:rPr>
          <w:rFonts w:ascii="David" w:hAnsi="David" w:cs="David" w:hint="cs"/>
          <w:b/>
          <w:bCs/>
          <w:sz w:val="24"/>
          <w:szCs w:val="24"/>
          <w:rtl/>
        </w:rPr>
        <w:t>מד"י נ' רימון</w:t>
      </w:r>
      <w:r w:rsidRPr="008D5B69">
        <w:rPr>
          <w:rFonts w:ascii="David" w:hAnsi="David" w:cs="David" w:hint="cs"/>
          <w:sz w:val="24"/>
          <w:szCs w:val="24"/>
          <w:rtl/>
        </w:rPr>
        <w:t xml:space="preserve"> (2.4.06)). </w:t>
      </w:r>
    </w:p>
    <w:p w:rsidR="00CD25CB" w:rsidRPr="008D5B69" w:rsidRDefault="00CD25CB" w:rsidP="00CD25CB">
      <w:pPr>
        <w:pStyle w:val="ad"/>
        <w:rPr>
          <w:rFonts w:ascii="David" w:hAnsi="David" w:cs="David"/>
          <w:sz w:val="24"/>
          <w:szCs w:val="24"/>
        </w:rPr>
      </w:pPr>
    </w:p>
    <w:p w:rsidR="00CD25CB" w:rsidRPr="008D5B69" w:rsidRDefault="00CD25CB" w:rsidP="001428A1">
      <w:pPr>
        <w:pStyle w:val="ad"/>
        <w:numPr>
          <w:ilvl w:val="0"/>
          <w:numId w:val="1"/>
        </w:numPr>
        <w:spacing w:line="360" w:lineRule="auto"/>
        <w:ind w:left="-58" w:firstLine="0"/>
        <w:jc w:val="both"/>
        <w:rPr>
          <w:rFonts w:ascii="David" w:hAnsi="David" w:cs="David"/>
          <w:sz w:val="24"/>
          <w:szCs w:val="24"/>
          <w:rtl/>
        </w:rPr>
      </w:pPr>
      <w:r w:rsidRPr="008D5B69">
        <w:rPr>
          <w:rFonts w:ascii="David" w:hAnsi="David" w:cs="David"/>
          <w:sz w:val="24"/>
          <w:szCs w:val="24"/>
          <w:rtl/>
        </w:rPr>
        <w:t xml:space="preserve">פעם אחר פעם נקבע כי המבחן הקובע הוא </w:t>
      </w:r>
      <w:r w:rsidRPr="001615DE">
        <w:rPr>
          <w:rFonts w:ascii="David" w:hAnsi="David" w:cs="David"/>
          <w:sz w:val="24"/>
          <w:szCs w:val="24"/>
          <w:rtl/>
        </w:rPr>
        <w:t>"מבחן הריבונות האפקטיבית",</w:t>
      </w:r>
      <w:r w:rsidRPr="008D5B69">
        <w:rPr>
          <w:rFonts w:ascii="David" w:hAnsi="David" w:cs="David"/>
          <w:sz w:val="24"/>
          <w:szCs w:val="24"/>
          <w:rtl/>
        </w:rPr>
        <w:t xml:space="preserve"> וכי לכל הפחות מאז שנת 1967 החילה ישראל את ריבונותה על שטח ההפקר בדרכים רבות (למען הגילוי הנאות יש לציין כי החלטה יחידה שקביעותיה שונות ניתנה ב</w:t>
      </w:r>
      <w:hyperlink r:id="rId24" w:history="1">
        <w:r w:rsidRPr="008D5B69">
          <w:rPr>
            <w:rStyle w:val="Hyperlink"/>
            <w:rFonts w:ascii="David" w:hAnsi="David" w:cs="David"/>
            <w:color w:val="auto"/>
            <w:sz w:val="24"/>
            <w:szCs w:val="24"/>
            <w:u w:val="none"/>
            <w:rtl/>
          </w:rPr>
          <w:t>ת"פ 1193/04</w:t>
        </w:r>
      </w:hyperlink>
      <w:r w:rsidRPr="008D5B69">
        <w:rPr>
          <w:rFonts w:ascii="David" w:hAnsi="David" w:cs="David"/>
          <w:sz w:val="24"/>
          <w:szCs w:val="24"/>
          <w:rtl/>
        </w:rPr>
        <w:t xml:space="preserve"> </w:t>
      </w:r>
      <w:r w:rsidRPr="008D5B69">
        <w:rPr>
          <w:rFonts w:ascii="David" w:hAnsi="David" w:cs="David" w:hint="cs"/>
          <w:b/>
          <w:bCs/>
          <w:sz w:val="24"/>
          <w:szCs w:val="24"/>
          <w:rtl/>
        </w:rPr>
        <w:t>מד"י נ' קרמר</w:t>
      </w:r>
      <w:r w:rsidRPr="008D5B69">
        <w:rPr>
          <w:rFonts w:ascii="David" w:hAnsi="David" w:cs="David" w:hint="cs"/>
          <w:sz w:val="24"/>
          <w:szCs w:val="24"/>
          <w:rtl/>
        </w:rPr>
        <w:t xml:space="preserve"> (13.3.05), אך למיטב הידיעה היא בוטלה בערכאת הערעור). בתי המשפט הפנו לכך שדרך מקובלת להוכחת תחולת הדין הישראלי היא באמצעות תעודת שר החוץ, אך קיימות גם דרכי הוכחה אחרות.</w:t>
      </w:r>
    </w:p>
    <w:p w:rsidR="00CD25CB" w:rsidRPr="008D5B69" w:rsidRDefault="00CD25CB" w:rsidP="00CC5709">
      <w:pPr>
        <w:pStyle w:val="ad"/>
        <w:spacing w:line="240" w:lineRule="auto"/>
        <w:ind w:left="-58"/>
        <w:jc w:val="both"/>
        <w:rPr>
          <w:rFonts w:ascii="David" w:hAnsi="David" w:cs="David"/>
          <w:sz w:val="24"/>
          <w:szCs w:val="24"/>
        </w:rPr>
      </w:pPr>
    </w:p>
    <w:p w:rsidR="00CD25CB" w:rsidRDefault="00CD25CB" w:rsidP="00CD25CB">
      <w:pPr>
        <w:pStyle w:val="ad"/>
        <w:numPr>
          <w:ilvl w:val="0"/>
          <w:numId w:val="1"/>
        </w:numPr>
        <w:spacing w:line="360" w:lineRule="auto"/>
        <w:ind w:left="-58" w:firstLine="0"/>
        <w:jc w:val="both"/>
        <w:rPr>
          <w:rFonts w:ascii="David" w:hAnsi="David" w:cs="David"/>
          <w:sz w:val="24"/>
          <w:szCs w:val="24"/>
        </w:rPr>
      </w:pPr>
      <w:r w:rsidRPr="008D5B69">
        <w:rPr>
          <w:rFonts w:ascii="David" w:hAnsi="David" w:cs="David"/>
          <w:sz w:val="24"/>
          <w:szCs w:val="24"/>
          <w:rtl/>
        </w:rPr>
        <w:t>בעוד שהנאשם לא תומך טענותיו במסמך כלשהו, מפנה התביעה לתעודות שר הח</w:t>
      </w:r>
      <w:r>
        <w:rPr>
          <w:rFonts w:ascii="David" w:hAnsi="David" w:cs="David"/>
          <w:sz w:val="24"/>
          <w:szCs w:val="24"/>
          <w:rtl/>
        </w:rPr>
        <w:t xml:space="preserve">וץ שהוכרו בבית המשפט בהליכים קודמים כראיה ניצחת וכהוכחה קונקלוסיבית סופית וגמורה לגבי העובדות (ע"פ 131/67 </w:t>
      </w:r>
      <w:r>
        <w:rPr>
          <w:rFonts w:ascii="David" w:hAnsi="David" w:cs="David"/>
          <w:b/>
          <w:bCs/>
          <w:sz w:val="24"/>
          <w:szCs w:val="24"/>
          <w:rtl/>
        </w:rPr>
        <w:t>קמיאר נ' מד"י</w:t>
      </w:r>
      <w:r>
        <w:rPr>
          <w:rFonts w:ascii="David" w:hAnsi="David" w:cs="David"/>
          <w:sz w:val="24"/>
          <w:szCs w:val="24"/>
          <w:rtl/>
        </w:rPr>
        <w:t xml:space="preserve"> (9.6.68)), ולפיהן חל הדין הישראלי בשטח ההפקר. כך למשל, התביעה מפנה לתעודה שהוגשה בעניין</w:t>
      </w:r>
      <w:r>
        <w:rPr>
          <w:rFonts w:ascii="David" w:hAnsi="David" w:cs="David"/>
          <w:b/>
          <w:bCs/>
          <w:sz w:val="24"/>
          <w:szCs w:val="24"/>
          <w:rtl/>
        </w:rPr>
        <w:t xml:space="preserve"> פריטש</w:t>
      </w:r>
      <w:r>
        <w:rPr>
          <w:rFonts w:ascii="David" w:hAnsi="David" w:cs="David"/>
          <w:sz w:val="24"/>
          <w:szCs w:val="24"/>
          <w:rtl/>
        </w:rPr>
        <w:t xml:space="preserve">, שם נקבע במסגרת הליך פלילי בעבירות תעבורה, כי תעודת שר החוץ בעניין ריבונות ישראל בשטח ההפקר מלמדת על כוונה להחיל שם את הדין הישראלי, ואף בלעדיה יש לקבוע כי זה הדין החל, נוכח השליטה הישראלית האפקטיבית במקום. בדומה, בבש"א 2269/05 </w:t>
      </w:r>
      <w:r>
        <w:rPr>
          <w:rFonts w:ascii="David" w:hAnsi="David" w:cs="David"/>
          <w:b/>
          <w:bCs/>
          <w:sz w:val="24"/>
          <w:szCs w:val="24"/>
          <w:rtl/>
        </w:rPr>
        <w:t>מנהל מקרקעי ישראל נ' אפרים</w:t>
      </w:r>
      <w:r>
        <w:rPr>
          <w:rFonts w:ascii="David" w:hAnsi="David" w:cs="David"/>
          <w:sz w:val="24"/>
          <w:szCs w:val="24"/>
          <w:rtl/>
        </w:rPr>
        <w:t xml:space="preserve"> (21.8.07), במסגרת תביעה להפסקת שימוש חורג, הוגשה תעודת שרת החוץ מיום 10.9.06, לפיה בכל שטח ההפקר חל</w:t>
      </w:r>
      <w:r w:rsidR="001428A1">
        <w:rPr>
          <w:rFonts w:ascii="David" w:hAnsi="David" w:cs="David" w:hint="cs"/>
          <w:sz w:val="24"/>
          <w:szCs w:val="24"/>
          <w:rtl/>
        </w:rPr>
        <w:t>ים</w:t>
      </w:r>
      <w:r>
        <w:rPr>
          <w:rFonts w:ascii="David" w:hAnsi="David" w:cs="David"/>
          <w:sz w:val="24"/>
          <w:szCs w:val="24"/>
          <w:rtl/>
        </w:rPr>
        <w:t xml:space="preserve"> המשפט השיפוט והמנהל של מדינת ישראל מאז 1967.</w:t>
      </w:r>
    </w:p>
    <w:p w:rsidR="00CD25CB" w:rsidRDefault="00CD25CB" w:rsidP="00CC5709">
      <w:pPr>
        <w:pStyle w:val="ad"/>
        <w:spacing w:line="240" w:lineRule="auto"/>
        <w:ind w:left="-58"/>
        <w:jc w:val="both"/>
        <w:rPr>
          <w:rFonts w:ascii="David" w:hAnsi="David" w:cs="David"/>
          <w:sz w:val="24"/>
          <w:szCs w:val="24"/>
          <w:rtl/>
        </w:rPr>
      </w:pPr>
    </w:p>
    <w:p w:rsidR="00CD25CB" w:rsidRDefault="00CD25CB" w:rsidP="00954D5F">
      <w:pPr>
        <w:pStyle w:val="ad"/>
        <w:numPr>
          <w:ilvl w:val="0"/>
          <w:numId w:val="1"/>
        </w:numPr>
        <w:spacing w:line="360" w:lineRule="auto"/>
        <w:ind w:left="-58" w:firstLine="0"/>
        <w:jc w:val="both"/>
        <w:rPr>
          <w:color w:val="000000"/>
          <w:sz w:val="24"/>
          <w:szCs w:val="24"/>
        </w:rPr>
      </w:pPr>
      <w:r>
        <w:rPr>
          <w:rFonts w:ascii="David" w:hAnsi="David" w:cs="David"/>
          <w:sz w:val="24"/>
          <w:szCs w:val="24"/>
          <w:rtl/>
        </w:rPr>
        <w:t xml:space="preserve">הנאשם טוען כי גם אם רשאית היתה מדינת ישראל להחיל את דיניה בשטח ההפקר ובכפר רות, עדיין אין לקבוע כי החוק הישראלי חל שם, כיוון שבפועל לא </w:t>
      </w:r>
      <w:r w:rsidR="00954D5F">
        <w:rPr>
          <w:rFonts w:ascii="David" w:hAnsi="David" w:cs="David" w:hint="cs"/>
          <w:sz w:val="24"/>
          <w:szCs w:val="24"/>
          <w:rtl/>
        </w:rPr>
        <w:t>החילה אותו המדינה "באופן אקטיבי" (כלשונו של הנאשם)</w:t>
      </w:r>
      <w:r>
        <w:rPr>
          <w:rFonts w:ascii="David" w:hAnsi="David" w:cs="David"/>
          <w:sz w:val="24"/>
          <w:szCs w:val="24"/>
          <w:rtl/>
        </w:rPr>
        <w:t>. טענה זו דינה להידחות, ממספר טעמים.</w:t>
      </w:r>
    </w:p>
    <w:p w:rsidR="00CD25CB" w:rsidRPr="00CC5709" w:rsidRDefault="00CD25CB" w:rsidP="00CC5709">
      <w:pPr>
        <w:pStyle w:val="ad"/>
        <w:spacing w:line="240" w:lineRule="auto"/>
        <w:rPr>
          <w:rFonts w:ascii="David" w:hAnsi="David" w:cs="David"/>
          <w:sz w:val="24"/>
          <w:szCs w:val="24"/>
        </w:rPr>
      </w:pPr>
    </w:p>
    <w:p w:rsidR="00CD25CB" w:rsidRDefault="00CD25CB" w:rsidP="00A4689C">
      <w:pPr>
        <w:pStyle w:val="ad"/>
        <w:spacing w:line="360" w:lineRule="auto"/>
        <w:ind w:left="-58" w:firstLine="778"/>
        <w:jc w:val="both"/>
        <w:rPr>
          <w:rFonts w:ascii="David" w:hAnsi="David" w:cs="David"/>
          <w:sz w:val="24"/>
          <w:szCs w:val="24"/>
          <w:rtl/>
        </w:rPr>
      </w:pPr>
      <w:r>
        <w:rPr>
          <w:rFonts w:ascii="David" w:hAnsi="David" w:cs="David"/>
          <w:sz w:val="24"/>
          <w:szCs w:val="24"/>
          <w:rtl/>
        </w:rPr>
        <w:t>ראשית, הטענה אינה מתקבלת על הדעת כיוון שהיא חותרת תחת משמעותו הבסיסית של מבחן הריבונות האפקטיבית, לפיו ריבונות המדינה ותחולת חוקיה בשטח ההפקר צריכה להילמד מן ה</w:t>
      </w:r>
      <w:r w:rsidR="00954D5F">
        <w:rPr>
          <w:rFonts w:ascii="David" w:hAnsi="David" w:cs="David"/>
          <w:sz w:val="24"/>
          <w:szCs w:val="24"/>
          <w:rtl/>
        </w:rPr>
        <w:t xml:space="preserve">מצב הקיים בשטח בפועל, ולא מכוח </w:t>
      </w:r>
      <w:r>
        <w:rPr>
          <w:rFonts w:ascii="David" w:hAnsi="David" w:cs="David"/>
          <w:sz w:val="24"/>
          <w:szCs w:val="24"/>
          <w:rtl/>
        </w:rPr>
        <w:t>אקט חקיקתי כלשהו. כפי שראינו, קבעו בתי המשפט פעם אחר פעם, כי בפועל, החילה מדינת ישראל את דיניה וריבונותה בשטח ההפקר וכי די בכך, בצירוף העובדה ששטח ההפקר מצוי בלב ליבה של הארץ, על מנת לקבע את תחולת הדין הישראלי (ראו גם: בנימין רובין, "</w:t>
      </w:r>
      <w:r>
        <w:rPr>
          <w:rFonts w:ascii="David" w:hAnsi="David" w:cs="David"/>
          <w:b/>
          <w:bCs/>
          <w:sz w:val="24"/>
          <w:szCs w:val="24"/>
          <w:rtl/>
        </w:rPr>
        <w:t>תחום תחולת המשפט, שטח המדינה, ומה שביניהם</w:t>
      </w:r>
      <w:r>
        <w:rPr>
          <w:rFonts w:ascii="David" w:hAnsi="David" w:cs="David"/>
          <w:sz w:val="24"/>
          <w:szCs w:val="24"/>
          <w:rtl/>
        </w:rPr>
        <w:t xml:space="preserve">", משפטים כ"ה 1995, עמ' 215). כאן יש להזכיר את הברור מאליו, והוא </w:t>
      </w:r>
      <w:r>
        <w:rPr>
          <w:rFonts w:ascii="David" w:hAnsi="David" w:cs="David"/>
          <w:color w:val="000000"/>
          <w:sz w:val="24"/>
          <w:szCs w:val="24"/>
          <w:rtl/>
        </w:rPr>
        <w:t>הצורך</w:t>
      </w:r>
      <w:r>
        <w:rPr>
          <w:rFonts w:ascii="David" w:hAnsi="David" w:cs="David"/>
          <w:sz w:val="24"/>
          <w:szCs w:val="24"/>
          <w:rtl/>
        </w:rPr>
        <w:t xml:space="preserve"> להבחין בין מעמדם של מזרח ירושלים ורמת הגולן, </w:t>
      </w:r>
      <w:r>
        <w:rPr>
          <w:rFonts w:ascii="David" w:hAnsi="David" w:cs="David"/>
          <w:sz w:val="24"/>
          <w:szCs w:val="24"/>
          <w:rtl/>
        </w:rPr>
        <w:lastRenderedPageBreak/>
        <w:t>ובין שטח ההפקר. בניגוד להשוואה שעורך הנאשם בין שלושת האזורים הללו, הרי כידוע, היו שני האזורים הראשונים נתונים לריבונות זרה עד שנכבשו על ידי מדינת ישראל, ובכך יש כדי להסביר את הצורך שהתעורר באקט משפטי של החלת הריבונות בשטחם (ולא החלת הדין הישראלי</w:t>
      </w:r>
      <w:r w:rsidR="00954D5F">
        <w:rPr>
          <w:rFonts w:ascii="David" w:hAnsi="David" w:cs="David" w:hint="cs"/>
          <w:sz w:val="24"/>
          <w:szCs w:val="24"/>
          <w:rtl/>
        </w:rPr>
        <w:t>,</w:t>
      </w:r>
      <w:r>
        <w:rPr>
          <w:rFonts w:ascii="David" w:hAnsi="David" w:cs="David"/>
          <w:sz w:val="24"/>
          <w:szCs w:val="24"/>
          <w:rtl/>
        </w:rPr>
        <w:t xml:space="preserve"> שרק נגררה אחר החלת הריבונות). לעומת זאת, שטח ההפקר לא היה מעולם בריבונות זרה, לפיכך הוחלה עליו הריבונות הישראלית מעצם קום המדינה</w:t>
      </w:r>
      <w:r w:rsidR="00954D5F">
        <w:rPr>
          <w:rFonts w:ascii="David" w:hAnsi="David" w:cs="David" w:hint="cs"/>
          <w:sz w:val="24"/>
          <w:szCs w:val="24"/>
          <w:rtl/>
        </w:rPr>
        <w:t>, או לכל הפחות מאז 1967</w:t>
      </w:r>
      <w:r>
        <w:rPr>
          <w:rFonts w:ascii="David" w:hAnsi="David" w:cs="David"/>
          <w:sz w:val="24"/>
          <w:szCs w:val="24"/>
          <w:rtl/>
        </w:rPr>
        <w:t xml:space="preserve">, ואילו החלת הדין הישראלי נגררה אחריה, מכוח הריבונות האפקטיבית (שם, עמ' 232). </w:t>
      </w:r>
      <w:r w:rsidR="00954D5F">
        <w:rPr>
          <w:rFonts w:ascii="David" w:hAnsi="David" w:cs="David" w:hint="cs"/>
          <w:sz w:val="24"/>
          <w:szCs w:val="24"/>
          <w:rtl/>
        </w:rPr>
        <w:t xml:space="preserve">הנה כי כן, </w:t>
      </w:r>
      <w:r>
        <w:rPr>
          <w:rFonts w:ascii="David" w:hAnsi="David" w:cs="David"/>
          <w:sz w:val="24"/>
          <w:szCs w:val="24"/>
          <w:rtl/>
        </w:rPr>
        <w:t>לאור הניתוח המשפטי החוזר על עצמו בהחלטות רבות, אין כל שחר לטענת הנאשם בדבר הצורך ב</w:t>
      </w:r>
      <w:r w:rsidR="00954D5F">
        <w:rPr>
          <w:rFonts w:ascii="David" w:hAnsi="David" w:cs="David" w:hint="cs"/>
          <w:sz w:val="24"/>
          <w:szCs w:val="24"/>
          <w:rtl/>
        </w:rPr>
        <w:t>החלה</w:t>
      </w:r>
      <w:r w:rsidR="00A4689C">
        <w:rPr>
          <w:rFonts w:ascii="David" w:hAnsi="David" w:cs="David" w:hint="cs"/>
          <w:sz w:val="24"/>
          <w:szCs w:val="24"/>
          <w:rtl/>
        </w:rPr>
        <w:t xml:space="preserve"> "</w:t>
      </w:r>
      <w:r w:rsidR="00954D5F">
        <w:rPr>
          <w:rFonts w:ascii="David" w:hAnsi="David" w:cs="David" w:hint="cs"/>
          <w:sz w:val="24"/>
          <w:szCs w:val="24"/>
          <w:rtl/>
        </w:rPr>
        <w:t>אקטיבית"</w:t>
      </w:r>
      <w:r>
        <w:rPr>
          <w:rFonts w:ascii="David" w:hAnsi="David" w:cs="David"/>
          <w:sz w:val="24"/>
          <w:szCs w:val="24"/>
          <w:rtl/>
        </w:rPr>
        <w:t xml:space="preserve"> כלשה</w:t>
      </w:r>
      <w:r w:rsidR="00954D5F">
        <w:rPr>
          <w:rFonts w:ascii="David" w:hAnsi="David" w:cs="David" w:hint="cs"/>
          <w:sz w:val="24"/>
          <w:szCs w:val="24"/>
          <w:rtl/>
        </w:rPr>
        <w:t>י</w:t>
      </w:r>
      <w:r>
        <w:rPr>
          <w:rFonts w:ascii="David" w:hAnsi="David" w:cs="David"/>
          <w:sz w:val="24"/>
          <w:szCs w:val="24"/>
          <w:rtl/>
        </w:rPr>
        <w:t>.</w:t>
      </w:r>
    </w:p>
    <w:p w:rsidR="00CD25CB" w:rsidRDefault="00CD25CB" w:rsidP="00CC5709">
      <w:pPr>
        <w:pStyle w:val="ad"/>
        <w:spacing w:before="240" w:line="240" w:lineRule="auto"/>
        <w:ind w:left="-55" w:right="567" w:firstLine="775"/>
        <w:jc w:val="both"/>
        <w:rPr>
          <w:rFonts w:ascii="David" w:hAnsi="David" w:cs="David"/>
          <w:sz w:val="24"/>
          <w:szCs w:val="24"/>
          <w:rtl/>
        </w:rPr>
      </w:pPr>
    </w:p>
    <w:p w:rsidR="00CD25CB" w:rsidRDefault="00CD25CB" w:rsidP="00560D5D">
      <w:pPr>
        <w:pStyle w:val="ad"/>
        <w:spacing w:line="360" w:lineRule="auto"/>
        <w:ind w:left="-58" w:firstLine="778"/>
        <w:jc w:val="both"/>
        <w:rPr>
          <w:rFonts w:ascii="David" w:hAnsi="David" w:cs="David"/>
          <w:color w:val="000000"/>
          <w:sz w:val="24"/>
          <w:szCs w:val="24"/>
          <w:rtl/>
        </w:rPr>
      </w:pPr>
      <w:r>
        <w:rPr>
          <w:rFonts w:ascii="David" w:hAnsi="David" w:cs="David"/>
          <w:sz w:val="24"/>
          <w:szCs w:val="24"/>
          <w:rtl/>
        </w:rPr>
        <w:t xml:space="preserve">שנית, אציין כי בניגוד לטענת הנאשם ומעבר לצורך, </w:t>
      </w:r>
      <w:r w:rsidR="00560D5D">
        <w:rPr>
          <w:rFonts w:ascii="David" w:hAnsi="David" w:cs="David" w:hint="cs"/>
          <w:sz w:val="24"/>
          <w:szCs w:val="24"/>
          <w:rtl/>
        </w:rPr>
        <w:t xml:space="preserve">אכן </w:t>
      </w:r>
      <w:r>
        <w:rPr>
          <w:rFonts w:ascii="David" w:hAnsi="David" w:cs="David"/>
          <w:sz w:val="24"/>
          <w:szCs w:val="24"/>
          <w:rtl/>
        </w:rPr>
        <w:t>בוצע</w:t>
      </w:r>
      <w:r w:rsidR="00560D5D">
        <w:rPr>
          <w:rFonts w:ascii="David" w:hAnsi="David" w:cs="David" w:hint="cs"/>
          <w:sz w:val="24"/>
          <w:szCs w:val="24"/>
          <w:rtl/>
        </w:rPr>
        <w:t xml:space="preserve">ה החלה אקטיבית של </w:t>
      </w:r>
      <w:r w:rsidR="00560D5D">
        <w:rPr>
          <w:rFonts w:ascii="David" w:hAnsi="David" w:cs="David"/>
          <w:sz w:val="24"/>
          <w:szCs w:val="24"/>
          <w:rtl/>
        </w:rPr>
        <w:t xml:space="preserve">הדין הישראלי </w:t>
      </w:r>
      <w:r w:rsidR="00560D5D">
        <w:rPr>
          <w:rFonts w:ascii="David" w:hAnsi="David" w:cs="David" w:hint="cs"/>
          <w:sz w:val="24"/>
          <w:szCs w:val="24"/>
          <w:rtl/>
        </w:rPr>
        <w:t xml:space="preserve">על </w:t>
      </w:r>
      <w:r w:rsidR="00560D5D">
        <w:rPr>
          <w:rFonts w:ascii="David" w:hAnsi="David" w:cs="David"/>
          <w:sz w:val="24"/>
          <w:szCs w:val="24"/>
          <w:rtl/>
        </w:rPr>
        <w:t xml:space="preserve">שטח ההפקר, ובייחוד </w:t>
      </w:r>
      <w:r w:rsidR="00560D5D">
        <w:rPr>
          <w:rFonts w:ascii="David" w:hAnsi="David" w:cs="David" w:hint="cs"/>
          <w:sz w:val="24"/>
          <w:szCs w:val="24"/>
          <w:rtl/>
        </w:rPr>
        <w:t xml:space="preserve">על </w:t>
      </w:r>
      <w:r>
        <w:rPr>
          <w:rFonts w:ascii="David" w:hAnsi="David" w:cs="David"/>
          <w:sz w:val="24"/>
          <w:szCs w:val="24"/>
          <w:rtl/>
        </w:rPr>
        <w:t>כפר רות, וזאת ב</w:t>
      </w:r>
      <w:r w:rsidR="00560D5D">
        <w:rPr>
          <w:rFonts w:ascii="David" w:hAnsi="David" w:cs="David" w:hint="cs"/>
          <w:sz w:val="24"/>
          <w:szCs w:val="24"/>
          <w:rtl/>
        </w:rPr>
        <w:t>ציון</w:t>
      </w:r>
      <w:r>
        <w:rPr>
          <w:rFonts w:ascii="David" w:hAnsi="David" w:cs="David"/>
          <w:sz w:val="24"/>
          <w:szCs w:val="24"/>
          <w:rtl/>
        </w:rPr>
        <w:t xml:space="preserve"> היישוב ברשימת היישובים של המועצה האזורית "חבל מודיעין", לפי צו המועצות המקומיות (מועצות אזוריות) תשי"ח-1958, פריט ל"ב. אך ברור כי צו המועצות הוא חיקוק טריטוריאלי החל בתחומי מדינת </w:t>
      </w:r>
      <w:r w:rsidR="00560D5D">
        <w:rPr>
          <w:rFonts w:ascii="David" w:hAnsi="David" w:cs="David"/>
          <w:color w:val="000000"/>
          <w:sz w:val="24"/>
          <w:szCs w:val="24"/>
          <w:rtl/>
        </w:rPr>
        <w:t>ישראל בלבד, כך שה</w:t>
      </w:r>
      <w:r w:rsidR="00560D5D">
        <w:rPr>
          <w:rFonts w:ascii="David" w:hAnsi="David" w:cs="David" w:hint="cs"/>
          <w:color w:val="000000"/>
          <w:sz w:val="24"/>
          <w:szCs w:val="24"/>
          <w:rtl/>
        </w:rPr>
        <w:t xml:space="preserve">כללת </w:t>
      </w:r>
      <w:r>
        <w:rPr>
          <w:rFonts w:ascii="David" w:hAnsi="David" w:cs="David"/>
          <w:color w:val="000000"/>
          <w:sz w:val="24"/>
          <w:szCs w:val="24"/>
          <w:rtl/>
        </w:rPr>
        <w:t xml:space="preserve">כפר רות ברשימת יישובי המועצה, יש בה כדי להכריז על ריבונות המדינה ותחולת הדין הישראלי כלפיו. בהקשר זה, אציין כי </w:t>
      </w:r>
      <w:r>
        <w:rPr>
          <w:rFonts w:ascii="David" w:hAnsi="David" w:cs="David"/>
          <w:sz w:val="24"/>
          <w:szCs w:val="24"/>
          <w:rtl/>
        </w:rPr>
        <w:t xml:space="preserve">בעניין </w:t>
      </w:r>
      <w:r>
        <w:rPr>
          <w:rFonts w:ascii="David" w:hAnsi="David" w:cs="David"/>
          <w:b/>
          <w:bCs/>
          <w:sz w:val="24"/>
          <w:szCs w:val="24"/>
          <w:rtl/>
        </w:rPr>
        <w:t xml:space="preserve">בנטוב </w:t>
      </w:r>
      <w:r>
        <w:rPr>
          <w:rFonts w:ascii="David" w:hAnsi="David" w:cs="David"/>
          <w:sz w:val="24"/>
          <w:szCs w:val="24"/>
          <w:rtl/>
        </w:rPr>
        <w:t xml:space="preserve">נדונה שאלת תחולת הדין הישראלי ביישוב "מכבים" שאף הוא מצוי בשטח ההפקר, ונקבע כי הראיה הטובה ביותר </w:t>
      </w:r>
      <w:r>
        <w:rPr>
          <w:rFonts w:ascii="David" w:hAnsi="David" w:cs="David"/>
          <w:color w:val="000000"/>
          <w:sz w:val="24"/>
          <w:szCs w:val="24"/>
          <w:rtl/>
        </w:rPr>
        <w:t xml:space="preserve">לכך שהיישוב נמצא בתחומי השיפוט והשלטון של מדינת ישראל מצויה בתוספת </w:t>
      </w:r>
      <w:r w:rsidRPr="00560D5D">
        <w:rPr>
          <w:rFonts w:ascii="David" w:hAnsi="David" w:cs="David"/>
          <w:sz w:val="24"/>
          <w:szCs w:val="24"/>
          <w:rtl/>
        </w:rPr>
        <w:t>הראשונה ל</w:t>
      </w:r>
      <w:hyperlink r:id="rId25" w:history="1">
        <w:r w:rsidRPr="00560D5D">
          <w:rPr>
            <w:rStyle w:val="Hyperlink"/>
            <w:rFonts w:ascii="David" w:hAnsi="David" w:cs="David"/>
            <w:color w:val="auto"/>
            <w:sz w:val="24"/>
            <w:szCs w:val="24"/>
            <w:u w:val="none"/>
            <w:rtl/>
          </w:rPr>
          <w:t>צו המועצות המקומיות (ב)</w:t>
        </w:r>
      </w:hyperlink>
      <w:r w:rsidRPr="00560D5D">
        <w:rPr>
          <w:rFonts w:ascii="David" w:hAnsi="David" w:cs="David"/>
          <w:sz w:val="24"/>
          <w:szCs w:val="24"/>
          <w:rtl/>
        </w:rPr>
        <w:t>, תשי</w:t>
      </w:r>
      <w:r>
        <w:rPr>
          <w:rFonts w:ascii="David" w:hAnsi="David" w:cs="David"/>
          <w:sz w:val="24"/>
          <w:szCs w:val="24"/>
          <w:rtl/>
        </w:rPr>
        <w:t xml:space="preserve">"ג- 1953, </w:t>
      </w:r>
      <w:r>
        <w:rPr>
          <w:rFonts w:ascii="David" w:hAnsi="David" w:cs="David"/>
          <w:color w:val="000000"/>
          <w:sz w:val="24"/>
          <w:szCs w:val="24"/>
          <w:rtl/>
        </w:rPr>
        <w:t xml:space="preserve">שם כלול היישוב ברשימת המועצות המקומיות (להבדיל מן הישובים היהודיים שהוקמו מעבר ל"קו הירוק"). </w:t>
      </w:r>
      <w:r>
        <w:rPr>
          <w:rFonts w:ascii="David" w:hAnsi="David" w:cs="David"/>
          <w:sz w:val="24"/>
          <w:szCs w:val="24"/>
          <w:rtl/>
        </w:rPr>
        <w:t>בכך יש כדי להדוף את טענות הנאשם.</w:t>
      </w:r>
    </w:p>
    <w:p w:rsidR="00CD25CB" w:rsidRDefault="00CD25CB" w:rsidP="00CC5709">
      <w:pPr>
        <w:pStyle w:val="ad"/>
        <w:spacing w:before="240" w:line="240" w:lineRule="auto"/>
        <w:ind w:left="-55" w:right="567" w:firstLine="775"/>
        <w:jc w:val="both"/>
        <w:rPr>
          <w:rFonts w:ascii="David" w:hAnsi="David" w:cs="David"/>
          <w:color w:val="000000"/>
          <w:sz w:val="24"/>
          <w:szCs w:val="24"/>
          <w:rtl/>
        </w:rPr>
      </w:pPr>
    </w:p>
    <w:p w:rsidR="00CD25CB" w:rsidRDefault="00CD25CB" w:rsidP="00560D5D">
      <w:pPr>
        <w:pStyle w:val="ad"/>
        <w:spacing w:line="360" w:lineRule="auto"/>
        <w:ind w:left="-58" w:firstLine="778"/>
        <w:jc w:val="both"/>
        <w:rPr>
          <w:color w:val="000000"/>
          <w:sz w:val="24"/>
          <w:szCs w:val="24"/>
          <w:rtl/>
        </w:rPr>
      </w:pPr>
      <w:r>
        <w:rPr>
          <w:rFonts w:ascii="David" w:hAnsi="David" w:cs="David"/>
          <w:color w:val="000000"/>
          <w:sz w:val="24"/>
          <w:szCs w:val="24"/>
          <w:rtl/>
        </w:rPr>
        <w:t xml:space="preserve">שלישית, כפי שנקבע בעניין </w:t>
      </w:r>
      <w:r>
        <w:rPr>
          <w:rFonts w:ascii="David" w:hAnsi="David" w:cs="David"/>
          <w:b/>
          <w:bCs/>
          <w:color w:val="000000"/>
          <w:sz w:val="24"/>
          <w:szCs w:val="24"/>
          <w:rtl/>
        </w:rPr>
        <w:t xml:space="preserve">רימון, </w:t>
      </w:r>
      <w:r>
        <w:rPr>
          <w:rFonts w:ascii="David" w:hAnsi="David" w:cs="David"/>
          <w:color w:val="000000"/>
          <w:sz w:val="24"/>
          <w:szCs w:val="24"/>
          <w:rtl/>
        </w:rPr>
        <w:t xml:space="preserve">על כפר רות חלה תכנית המתאר המחוזית, תמ"מ/3 שינוי 7, משנת 1999 (ת/20) שאושרה ע"י המועצה הארצית לתכנון ולבניה ביום 21.12.99 ועל פי האכרזה מיום 19.2.2001, המקרקעין של כפר רות הם קרקע חקלאית. קביעות אלה, הושתתו על התכניות שהוגשו כראיה, מפת האכרזה על הקרקע החקלאית מספטמבר 98 החתומה כדין ע"י יו"ר הועדה לשמירת על קרקע חקלאית, ותב"ע מפורטת מח/33. כידוע, תכניות מתאר נושאות אופי ומעמד של </w:t>
      </w:r>
      <w:r>
        <w:rPr>
          <w:rFonts w:ascii="David" w:hAnsi="David" w:cs="David"/>
          <w:sz w:val="24"/>
          <w:szCs w:val="24"/>
          <w:rtl/>
        </w:rPr>
        <w:t>חיקוק (</w:t>
      </w:r>
      <w:hyperlink r:id="rId26" w:history="1">
        <w:r w:rsidRPr="00560D5D">
          <w:rPr>
            <w:rStyle w:val="Hyperlink"/>
            <w:rFonts w:ascii="David" w:hAnsi="David" w:cs="David"/>
            <w:color w:val="auto"/>
            <w:sz w:val="24"/>
            <w:szCs w:val="24"/>
            <w:u w:val="none"/>
            <w:rtl/>
          </w:rPr>
          <w:t>ע"א 3213/97</w:t>
        </w:r>
      </w:hyperlink>
      <w:r w:rsidRPr="00560D5D">
        <w:rPr>
          <w:rFonts w:ascii="David" w:hAnsi="David" w:cs="David"/>
          <w:sz w:val="24"/>
          <w:szCs w:val="24"/>
        </w:rPr>
        <w:t> </w:t>
      </w:r>
      <w:r w:rsidRPr="00560D5D">
        <w:rPr>
          <w:rFonts w:ascii="David" w:hAnsi="David" w:cs="David"/>
          <w:b/>
          <w:bCs/>
          <w:sz w:val="24"/>
          <w:szCs w:val="24"/>
          <w:rtl/>
        </w:rPr>
        <w:t>נ</w:t>
      </w:r>
      <w:r>
        <w:rPr>
          <w:rFonts w:ascii="David" w:hAnsi="David" w:cs="David"/>
          <w:b/>
          <w:bCs/>
          <w:sz w:val="24"/>
          <w:szCs w:val="24"/>
          <w:rtl/>
        </w:rPr>
        <w:t xml:space="preserve">קר </w:t>
      </w:r>
      <w:r>
        <w:rPr>
          <w:rFonts w:ascii="David" w:hAnsi="David" w:cs="David"/>
          <w:b/>
          <w:bCs/>
          <w:color w:val="000000"/>
          <w:sz w:val="24"/>
          <w:szCs w:val="24"/>
          <w:rtl/>
        </w:rPr>
        <w:t>נ' וועדה מקומית הרצליה</w:t>
      </w:r>
      <w:r>
        <w:rPr>
          <w:rFonts w:ascii="David" w:hAnsi="David" w:cs="David"/>
          <w:color w:val="000000"/>
          <w:sz w:val="24"/>
          <w:szCs w:val="24"/>
          <w:rtl/>
        </w:rPr>
        <w:t xml:space="preserve"> (31.8.99); ע"פ 389/91 </w:t>
      </w:r>
      <w:r>
        <w:rPr>
          <w:rFonts w:ascii="David" w:hAnsi="David" w:cs="David"/>
          <w:b/>
          <w:bCs/>
          <w:color w:val="000000"/>
          <w:sz w:val="24"/>
          <w:szCs w:val="24"/>
          <w:rtl/>
        </w:rPr>
        <w:t>מד"י נ' ויסמרק</w:t>
      </w:r>
      <w:r>
        <w:rPr>
          <w:rFonts w:ascii="David" w:hAnsi="David" w:cs="David"/>
          <w:color w:val="000000"/>
          <w:sz w:val="24"/>
          <w:szCs w:val="24"/>
          <w:rtl/>
        </w:rPr>
        <w:t xml:space="preserve"> (16.1.96)), ואין כל ספק כי אכרזות מכוח חוק התו"ב שפורסמו ברשומות אף הן נושאות אופי שכזה. משכך, יש בעצם הכפפת כפר רות לתכניות המתאר, כדי להכריז כי חלים עליו השיפוט והשלטון של מדינת ישראל.  אזכיר כי הנאשם לא העלה טענות לגבי תקינותן של התכניות, ומכל מקום עומדת לרשות חזקת התקינות המנהלית לגביהן, כפי שקבע בית המשפט בעניין </w:t>
      </w:r>
      <w:r>
        <w:rPr>
          <w:rFonts w:ascii="David" w:hAnsi="David" w:cs="David"/>
          <w:b/>
          <w:bCs/>
          <w:color w:val="000000"/>
          <w:sz w:val="24"/>
          <w:szCs w:val="24"/>
          <w:rtl/>
        </w:rPr>
        <w:t>רימון</w:t>
      </w:r>
      <w:r w:rsidR="00560D5D">
        <w:rPr>
          <w:rFonts w:ascii="David" w:hAnsi="David" w:cs="David" w:hint="cs"/>
          <w:color w:val="000000"/>
          <w:sz w:val="24"/>
          <w:szCs w:val="24"/>
          <w:rtl/>
        </w:rPr>
        <w:t>, כך שתחולתן על כפר רות, אינה מוטלת בספק</w:t>
      </w:r>
      <w:r>
        <w:rPr>
          <w:rFonts w:ascii="David" w:hAnsi="David" w:cs="David"/>
          <w:color w:val="000000"/>
          <w:sz w:val="24"/>
          <w:szCs w:val="24"/>
          <w:rtl/>
        </w:rPr>
        <w:t>. לאור זאת, אף לשיטת הנאשם, הוחל הדין הישראלי על כפר רות מכוח האקט החקיקתי התכנוני.</w:t>
      </w:r>
    </w:p>
    <w:p w:rsidR="00CD25CB" w:rsidRDefault="00CD25CB" w:rsidP="00CD25CB">
      <w:pPr>
        <w:pStyle w:val="ad"/>
        <w:spacing w:line="240" w:lineRule="auto"/>
        <w:ind w:left="-58"/>
        <w:jc w:val="both"/>
        <w:rPr>
          <w:rFonts w:ascii="David" w:hAnsi="David" w:cs="David"/>
          <w:sz w:val="24"/>
          <w:szCs w:val="24"/>
        </w:rPr>
      </w:pPr>
    </w:p>
    <w:p w:rsidR="00CD25CB" w:rsidRDefault="00CD25CB" w:rsidP="00CD25CB">
      <w:pPr>
        <w:pStyle w:val="ad"/>
        <w:numPr>
          <w:ilvl w:val="0"/>
          <w:numId w:val="1"/>
        </w:numPr>
        <w:spacing w:line="360" w:lineRule="auto"/>
        <w:ind w:left="-58" w:firstLine="0"/>
        <w:jc w:val="both"/>
        <w:rPr>
          <w:rFonts w:ascii="David" w:hAnsi="David" w:cs="David"/>
          <w:sz w:val="24"/>
          <w:szCs w:val="24"/>
        </w:rPr>
      </w:pPr>
      <w:r>
        <w:rPr>
          <w:rFonts w:ascii="David" w:hAnsi="David" w:cs="David"/>
          <w:sz w:val="24"/>
          <w:szCs w:val="24"/>
          <w:rtl/>
        </w:rPr>
        <w:t xml:space="preserve">כאן המקום לציין כי בעניין </w:t>
      </w:r>
      <w:r>
        <w:rPr>
          <w:rFonts w:ascii="David" w:hAnsi="David" w:cs="David"/>
          <w:b/>
          <w:bCs/>
          <w:sz w:val="24"/>
          <w:szCs w:val="24"/>
          <w:rtl/>
        </w:rPr>
        <w:t>פריטש</w:t>
      </w:r>
      <w:r>
        <w:rPr>
          <w:rFonts w:ascii="David" w:hAnsi="David" w:cs="David"/>
          <w:sz w:val="24"/>
          <w:szCs w:val="24"/>
          <w:rtl/>
        </w:rPr>
        <w:t xml:space="preserve">, שם נקבעה תחולת הדין הישראלי בשטח ההפקר, הובעה דעה לפיה היות שהשטח מצוי מעבר לגבולות "הקו הירוק" של שביתת הנשק משנת 1949, הרי הדין החל (על פי החקיקה הישראלית) הוא תחיקת הביטחון. מבלי לקבוע מסמרות, אני סבורה </w:t>
      </w:r>
      <w:r>
        <w:rPr>
          <w:rFonts w:ascii="David" w:hAnsi="David" w:cs="David"/>
          <w:sz w:val="24"/>
          <w:szCs w:val="24"/>
          <w:rtl/>
        </w:rPr>
        <w:lastRenderedPageBreak/>
        <w:t xml:space="preserve">כי קביעה זו מעוררת קושי, בשל העובדה שמעולם לא היה שטח ההפקר בשליטה צבאית ולא הוחלה שם תחיקת הביטחון, כך שלא ברור מכוח מה סבר המותב הנכבד שזהו הדין החל. עם זאת, יש להבהיר כי גם לפי שיטה זו, נתונה הסמכות לבית המשפט בישראל לדון את הנאשם, שהרי </w:t>
      </w:r>
      <w:r>
        <w:rPr>
          <w:rFonts w:ascii="David" w:hAnsi="David" w:cs="David"/>
          <w:b/>
          <w:bCs/>
          <w:sz w:val="24"/>
          <w:szCs w:val="24"/>
          <w:rtl/>
        </w:rPr>
        <w:t xml:space="preserve">החוק להארכת תוקפן של </w:t>
      </w:r>
      <w:r>
        <w:rPr>
          <w:rFonts w:ascii="David" w:hAnsi="David" w:cs="David"/>
          <w:sz w:val="24"/>
          <w:szCs w:val="24"/>
          <w:rtl/>
        </w:rPr>
        <w:t>תקנות</w:t>
      </w:r>
      <w:r>
        <w:rPr>
          <w:rFonts w:ascii="David" w:hAnsi="David" w:cs="David"/>
          <w:b/>
          <w:bCs/>
          <w:sz w:val="24"/>
          <w:szCs w:val="24"/>
          <w:rtl/>
        </w:rPr>
        <w:t xml:space="preserve"> שעת חירום (יהודה והשומרון – שיפוט בעבירות ועזרה משפטית) תשכ"ז-1967,</w:t>
      </w:r>
      <w:r>
        <w:rPr>
          <w:rFonts w:ascii="David" w:hAnsi="David" w:cs="David"/>
          <w:sz w:val="24"/>
          <w:szCs w:val="24"/>
          <w:rtl/>
        </w:rPr>
        <w:t xml:space="preserve"> קובע בסעיף 2(א) כי בית משפט בישראל מוסמך לדון אדם הנמצא בישראל על מעשהו או מחדלו שבוצעו באזור, והכל אם המעשה או המחדל היו עבירות אילו אירעו בתחום השיפוט של בתי המשפט בישראל, ובייחוד קיימת הסמכות לדון אותו בישראל בגין עבירות מינהליות, כמו זו שלפנינו (ראו גם: ע"פ 163/82 </w:t>
      </w:r>
      <w:r>
        <w:rPr>
          <w:rFonts w:ascii="David" w:hAnsi="David" w:cs="David"/>
          <w:b/>
          <w:bCs/>
          <w:sz w:val="24"/>
          <w:szCs w:val="24"/>
          <w:rtl/>
        </w:rPr>
        <w:t>דוד נ' מד"י</w:t>
      </w:r>
      <w:r>
        <w:rPr>
          <w:rFonts w:ascii="David" w:hAnsi="David" w:cs="David"/>
          <w:sz w:val="24"/>
          <w:szCs w:val="24"/>
          <w:rtl/>
        </w:rPr>
        <w:t xml:space="preserve"> (27.2.83), סעיף 30)).</w:t>
      </w:r>
    </w:p>
    <w:p w:rsidR="00CD25CB" w:rsidRDefault="00CD25CB" w:rsidP="00CC5709">
      <w:pPr>
        <w:pStyle w:val="ad"/>
        <w:spacing w:line="240" w:lineRule="auto"/>
        <w:ind w:left="-58"/>
        <w:jc w:val="both"/>
        <w:rPr>
          <w:rFonts w:ascii="David" w:hAnsi="David" w:cs="David"/>
          <w:sz w:val="24"/>
          <w:szCs w:val="24"/>
        </w:rPr>
      </w:pPr>
    </w:p>
    <w:p w:rsidR="00CD25CB" w:rsidRDefault="00CD25CB" w:rsidP="007D31D2">
      <w:pPr>
        <w:pStyle w:val="ad"/>
        <w:numPr>
          <w:ilvl w:val="0"/>
          <w:numId w:val="1"/>
        </w:numPr>
        <w:spacing w:line="360" w:lineRule="auto"/>
        <w:ind w:left="-58" w:firstLine="0"/>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סיכומו של דבר, הטענה לפיה לא חל הדין הישראלי בכפר רות, אשר נדונה פעמים רבות ונדחתה, לא הוכחה גם </w:t>
      </w:r>
      <w:r w:rsidR="007D31D2">
        <w:rPr>
          <w:rFonts w:ascii="David" w:hAnsi="David" w:cs="David" w:hint="cs"/>
          <w:sz w:val="24"/>
          <w:szCs w:val="24"/>
          <w:rtl/>
        </w:rPr>
        <w:t>ה</w:t>
      </w:r>
      <w:r>
        <w:rPr>
          <w:rFonts w:ascii="David" w:hAnsi="David" w:cs="David" w:hint="cs"/>
          <w:sz w:val="24"/>
          <w:szCs w:val="24"/>
          <w:rtl/>
        </w:rPr>
        <w:t xml:space="preserve">פעם הזאת. להיפך, שלל הטיעונים וההפניות מלמדים כי על פי מבחן הריבונות האפקטיבית שהוכר בפסיקה, חל הדין הישראלי על שטח ההפקר כולו. מעבר לכך, הראיתי כי לאחר קום המדינה, </w:t>
      </w:r>
      <w:r w:rsidR="007D31D2">
        <w:rPr>
          <w:rFonts w:ascii="David" w:hAnsi="David" w:cs="David" w:hint="cs"/>
          <w:sz w:val="24"/>
          <w:szCs w:val="24"/>
          <w:rtl/>
        </w:rPr>
        <w:t xml:space="preserve">הוחל הדין הישראלי בשטח ההפקר באופן אקטיבי, </w:t>
      </w:r>
      <w:r>
        <w:rPr>
          <w:rFonts w:ascii="David" w:hAnsi="David" w:cs="David" w:hint="cs"/>
          <w:sz w:val="24"/>
          <w:szCs w:val="24"/>
          <w:rtl/>
        </w:rPr>
        <w:t>שאינו מותיר כל ספק בעניין.</w:t>
      </w:r>
    </w:p>
    <w:p w:rsidR="00CD25CB" w:rsidRDefault="00CD25CB" w:rsidP="00CD25CB">
      <w:pPr>
        <w:pStyle w:val="ad"/>
        <w:rPr>
          <w:rFonts w:ascii="David" w:hAnsi="David" w:cs="David"/>
          <w:sz w:val="24"/>
          <w:szCs w:val="24"/>
        </w:rPr>
      </w:pPr>
    </w:p>
    <w:p w:rsidR="00CD25CB" w:rsidRDefault="00CD25CB" w:rsidP="006F4B5F">
      <w:pPr>
        <w:pStyle w:val="ad"/>
        <w:spacing w:line="240" w:lineRule="auto"/>
        <w:ind w:left="-58"/>
        <w:jc w:val="both"/>
        <w:rPr>
          <w:rFonts w:ascii="David" w:hAnsi="David" w:cs="David"/>
          <w:b/>
          <w:bCs/>
          <w:sz w:val="24"/>
          <w:szCs w:val="24"/>
          <w:u w:val="single"/>
          <w:rtl/>
        </w:rPr>
      </w:pPr>
    </w:p>
    <w:p w:rsidR="00CD25CB" w:rsidRDefault="00CD25CB" w:rsidP="00CD25CB">
      <w:pPr>
        <w:pStyle w:val="ad"/>
        <w:spacing w:line="360" w:lineRule="auto"/>
        <w:ind w:left="-58"/>
        <w:jc w:val="both"/>
        <w:rPr>
          <w:rFonts w:ascii="David" w:hAnsi="David" w:cs="David"/>
          <w:b/>
          <w:bCs/>
          <w:sz w:val="24"/>
          <w:szCs w:val="24"/>
          <w:u w:val="single"/>
          <w:rtl/>
        </w:rPr>
      </w:pPr>
      <w:r>
        <w:rPr>
          <w:rFonts w:ascii="David" w:hAnsi="David" w:cs="David"/>
          <w:b/>
          <w:bCs/>
          <w:sz w:val="24"/>
          <w:szCs w:val="24"/>
          <w:u w:val="single"/>
          <w:rtl/>
        </w:rPr>
        <w:t>חוקיות הגשת כתב האישום על ידי המחלקה לאכיפת דיני מקרקעין</w:t>
      </w:r>
    </w:p>
    <w:p w:rsidR="00CD25CB" w:rsidRDefault="00CD25CB" w:rsidP="00CC5709">
      <w:pPr>
        <w:pStyle w:val="ad"/>
        <w:spacing w:line="240" w:lineRule="auto"/>
        <w:ind w:left="-58"/>
        <w:jc w:val="both"/>
        <w:rPr>
          <w:rFonts w:ascii="David" w:hAnsi="David" w:cs="David"/>
          <w:sz w:val="24"/>
          <w:szCs w:val="24"/>
          <w:rtl/>
        </w:rPr>
      </w:pPr>
    </w:p>
    <w:p w:rsidR="00CD25CB" w:rsidRDefault="00CD25CB" w:rsidP="006F4B5F">
      <w:pPr>
        <w:pStyle w:val="ad"/>
        <w:numPr>
          <w:ilvl w:val="0"/>
          <w:numId w:val="1"/>
        </w:numPr>
        <w:spacing w:line="360" w:lineRule="auto"/>
        <w:ind w:left="-58" w:firstLine="0"/>
        <w:jc w:val="both"/>
        <w:rPr>
          <w:rFonts w:ascii="David" w:hAnsi="David" w:cs="David"/>
          <w:sz w:val="24"/>
          <w:szCs w:val="24"/>
        </w:rPr>
      </w:pPr>
      <w:r>
        <w:rPr>
          <w:rFonts w:ascii="David" w:hAnsi="David" w:cs="David"/>
          <w:sz w:val="24"/>
          <w:szCs w:val="24"/>
          <w:rtl/>
        </w:rPr>
        <w:t xml:space="preserve">הנאשם מוצא פגם בכך שכתב האישום דנן, הוגש על ידי המחלקה לאכיפת דיני מקרקעין בפרקליטות המדינה (להלן: המאשימה), ולא על ידי הוועדה המקומית חבל מודיעין אשר במרחב התכנוני שלה בוצעה העבירה, וזאת מן הטעם שלשיטתו נעשתה כאן נטילת סמכות לגבי מספר תיקי עבירה בכפר רות, שלא כדין. נטען כי לשם הגשת כתב האישום, היה על המאשימה לפעול על פי הוראות סעיף 254 י"ד לחוק התו"ב, המחייב הליך סדור של נטילת הסמכות, לאחר קבלת המלצה, מתן זכות הטיעון לוועדה המקומית שממנה ניטלת הסמכות, ועוד דרישות המפורטות שם.  עוד נטען, כי רק במקרים בהם נוטלת המאשימה את הסמכות לגבי תיק בודד, רשאית היא ליטול את הסמכות מכוח סעיף י"ג, ללא עמידה בדרישות  סעיף י"ד. </w:t>
      </w:r>
    </w:p>
    <w:p w:rsidR="00CD25CB" w:rsidRDefault="00CD25CB" w:rsidP="00CC5709">
      <w:pPr>
        <w:pStyle w:val="ad"/>
        <w:spacing w:line="240" w:lineRule="auto"/>
        <w:ind w:left="-58"/>
        <w:jc w:val="both"/>
        <w:rPr>
          <w:rFonts w:ascii="David" w:hAnsi="David" w:cs="David"/>
          <w:sz w:val="24"/>
          <w:szCs w:val="24"/>
        </w:rPr>
      </w:pPr>
    </w:p>
    <w:p w:rsidR="00CD25CB" w:rsidRDefault="00CD25CB" w:rsidP="00CD25CB">
      <w:pPr>
        <w:pStyle w:val="ad"/>
        <w:spacing w:line="360" w:lineRule="auto"/>
        <w:ind w:left="-58" w:firstLine="778"/>
        <w:jc w:val="both"/>
        <w:rPr>
          <w:rFonts w:ascii="David" w:hAnsi="David" w:cs="David"/>
          <w:sz w:val="24"/>
          <w:szCs w:val="24"/>
          <w:rtl/>
        </w:rPr>
      </w:pPr>
      <w:r>
        <w:rPr>
          <w:rFonts w:ascii="David" w:hAnsi="David" w:cs="David"/>
          <w:sz w:val="24"/>
          <w:szCs w:val="24"/>
          <w:rtl/>
        </w:rPr>
        <w:t>לאחר בחינה אני סבורה כי אין ממש בטענה, והיא נובעת מבלבול מושגים והבנה שגויה של סעיפי החוק ותכליתם.</w:t>
      </w:r>
    </w:p>
    <w:p w:rsidR="00CD25CB" w:rsidRDefault="00CD25CB" w:rsidP="00CC5709">
      <w:pPr>
        <w:pStyle w:val="ad"/>
        <w:spacing w:line="240" w:lineRule="auto"/>
        <w:rPr>
          <w:rFonts w:ascii="David" w:hAnsi="David" w:cs="David"/>
          <w:sz w:val="24"/>
          <w:szCs w:val="24"/>
        </w:rPr>
      </w:pPr>
    </w:p>
    <w:p w:rsidR="00CD25CB" w:rsidRDefault="00CD25CB" w:rsidP="00CD25CB">
      <w:pPr>
        <w:pStyle w:val="ad"/>
        <w:numPr>
          <w:ilvl w:val="0"/>
          <w:numId w:val="1"/>
        </w:numPr>
        <w:spacing w:line="360" w:lineRule="auto"/>
        <w:ind w:left="-58" w:firstLine="0"/>
        <w:jc w:val="both"/>
        <w:rPr>
          <w:rFonts w:ascii="David" w:hAnsi="David" w:cs="David"/>
          <w:sz w:val="24"/>
          <w:szCs w:val="24"/>
          <w:rtl/>
        </w:rPr>
      </w:pPr>
      <w:r>
        <w:rPr>
          <w:rFonts w:ascii="David" w:hAnsi="David" w:cs="David"/>
          <w:sz w:val="24"/>
          <w:szCs w:val="24"/>
          <w:rtl/>
        </w:rPr>
        <w:t>בטרם אתייחס ללשון סעיפים 254י"ג ו-י"ד ומשמעותם, חשוב להדגיש כי לא הובהר מצד הנאשם, איזה נפקא מינה יש לסוגיה זו כלפיו, ומדוע יש לדעתו חשיבות כה רבה לזיהוי הסעיף מכוחו פעלה המאשימה, בשעה שאינו מתכחש לקיומה של הסמכות בידיה, לפעול במקום הוועדה המקומית, מכוח כל אחד משני הסעיפים. לא נטען ולא הוכח כי האופן בו בחרה לפעול גרם עיוות דין כלשהו, ונראה כי הטענה נתלית בעניינים פרוצדורליים הנוגעים ליחסים הפנימיים בין הוועדה המקומית והמאשימה, שאינם מעניינו של הנאשם, ואינם נוגעים לו.</w:t>
      </w:r>
    </w:p>
    <w:p w:rsidR="00CD25CB" w:rsidRDefault="00CD25CB" w:rsidP="00CD25CB">
      <w:pPr>
        <w:pStyle w:val="ad"/>
        <w:rPr>
          <w:rFonts w:ascii="David" w:hAnsi="David" w:cs="David"/>
          <w:sz w:val="24"/>
          <w:szCs w:val="24"/>
        </w:rPr>
      </w:pPr>
    </w:p>
    <w:p w:rsidR="00CD25CB" w:rsidRDefault="00CD25CB" w:rsidP="00813B39">
      <w:pPr>
        <w:pStyle w:val="ad"/>
        <w:numPr>
          <w:ilvl w:val="0"/>
          <w:numId w:val="1"/>
        </w:numPr>
        <w:spacing w:line="360" w:lineRule="auto"/>
        <w:ind w:left="-58" w:firstLine="0"/>
        <w:jc w:val="both"/>
        <w:rPr>
          <w:rFonts w:ascii="David" w:hAnsi="David" w:cs="David"/>
          <w:sz w:val="24"/>
          <w:szCs w:val="24"/>
        </w:rPr>
      </w:pPr>
      <w:r w:rsidRPr="007F718D">
        <w:rPr>
          <w:rFonts w:ascii="David" w:hAnsi="David" w:cs="David"/>
          <w:sz w:val="24"/>
          <w:szCs w:val="24"/>
          <w:rtl/>
        </w:rPr>
        <w:t>לגופו של עניין, פרשנותו של הנאשם לשני הסעיפים (ס"ק י"ג ו-י"ד) שגויה מן היסוד, ואין כ</w:t>
      </w:r>
      <w:r w:rsidR="006F4B5F" w:rsidRPr="007F718D">
        <w:rPr>
          <w:rFonts w:ascii="David" w:hAnsi="David" w:cs="David"/>
          <w:sz w:val="24"/>
          <w:szCs w:val="24"/>
          <w:rtl/>
        </w:rPr>
        <w:t xml:space="preserve">ל הצדקה לתלות את </w:t>
      </w:r>
      <w:r w:rsidRPr="007F718D">
        <w:rPr>
          <w:rFonts w:ascii="David" w:hAnsi="David" w:cs="David"/>
          <w:sz w:val="24"/>
          <w:szCs w:val="24"/>
          <w:rtl/>
        </w:rPr>
        <w:t xml:space="preserve">אופן </w:t>
      </w:r>
      <w:r w:rsidR="006F4B5F" w:rsidRPr="007F718D">
        <w:rPr>
          <w:rFonts w:ascii="David" w:hAnsi="David" w:cs="David" w:hint="cs"/>
          <w:sz w:val="24"/>
          <w:szCs w:val="24"/>
          <w:rtl/>
        </w:rPr>
        <w:t>קניית הסמכות</w:t>
      </w:r>
      <w:r w:rsidRPr="007F718D">
        <w:rPr>
          <w:rFonts w:ascii="David" w:hAnsi="David" w:cs="David"/>
          <w:sz w:val="24"/>
          <w:szCs w:val="24"/>
          <w:rtl/>
        </w:rPr>
        <w:t xml:space="preserve">, בכמות התיקים אותם בחרה </w:t>
      </w:r>
      <w:r w:rsidR="006F4B5F" w:rsidRPr="007F718D">
        <w:rPr>
          <w:rFonts w:ascii="David" w:hAnsi="David" w:cs="David" w:hint="cs"/>
          <w:sz w:val="24"/>
          <w:szCs w:val="24"/>
          <w:rtl/>
        </w:rPr>
        <w:t xml:space="preserve">המאשימה </w:t>
      </w:r>
      <w:r w:rsidRPr="007F718D">
        <w:rPr>
          <w:rFonts w:ascii="David" w:hAnsi="David" w:cs="David"/>
          <w:sz w:val="24"/>
          <w:szCs w:val="24"/>
          <w:rtl/>
        </w:rPr>
        <w:t>ליטול לטיפולה. מה לי תיק אחד ומה לי שניים, תהליך העבודה והיחסים בין המאשימה ובי</w:t>
      </w:r>
      <w:r w:rsidR="007F718D" w:rsidRPr="007F718D">
        <w:rPr>
          <w:rFonts w:ascii="David" w:hAnsi="David" w:cs="David"/>
          <w:sz w:val="24"/>
          <w:szCs w:val="24"/>
          <w:rtl/>
        </w:rPr>
        <w:t xml:space="preserve">ן הוועדה המקומית צריך להיות </w:t>
      </w:r>
      <w:r w:rsidR="007F718D" w:rsidRPr="007F718D">
        <w:rPr>
          <w:rFonts w:ascii="David" w:hAnsi="David" w:cs="David" w:hint="cs"/>
          <w:sz w:val="24"/>
          <w:szCs w:val="24"/>
          <w:rtl/>
        </w:rPr>
        <w:t>מושתת על פי עיקרון מסדר ענייני</w:t>
      </w:r>
      <w:r w:rsidRPr="007F718D">
        <w:rPr>
          <w:rFonts w:ascii="David" w:hAnsi="David" w:cs="David"/>
          <w:sz w:val="24"/>
          <w:szCs w:val="24"/>
          <w:rtl/>
        </w:rPr>
        <w:t xml:space="preserve">, </w:t>
      </w:r>
      <w:r w:rsidR="007F718D" w:rsidRPr="007F718D">
        <w:rPr>
          <w:rFonts w:ascii="David" w:hAnsi="David" w:cs="David" w:hint="cs"/>
          <w:sz w:val="24"/>
          <w:szCs w:val="24"/>
          <w:rtl/>
        </w:rPr>
        <w:t xml:space="preserve">ולא בהתאם לכמות התיקים בהם מדובר. </w:t>
      </w:r>
    </w:p>
    <w:p w:rsidR="007F718D" w:rsidRPr="007F718D" w:rsidRDefault="007F718D" w:rsidP="007F718D">
      <w:pPr>
        <w:pStyle w:val="ad"/>
        <w:rPr>
          <w:rFonts w:ascii="David" w:hAnsi="David" w:cs="David"/>
          <w:sz w:val="24"/>
          <w:szCs w:val="24"/>
          <w:rtl/>
        </w:rPr>
      </w:pPr>
    </w:p>
    <w:p w:rsidR="00CD25CB" w:rsidRDefault="00CD25CB" w:rsidP="00CD25CB">
      <w:pPr>
        <w:pStyle w:val="ad"/>
        <w:numPr>
          <w:ilvl w:val="0"/>
          <w:numId w:val="1"/>
        </w:numPr>
        <w:spacing w:line="360" w:lineRule="auto"/>
        <w:ind w:left="-58" w:firstLine="0"/>
        <w:jc w:val="both"/>
        <w:rPr>
          <w:rFonts w:ascii="David" w:hAnsi="David" w:cs="David"/>
          <w:sz w:val="24"/>
          <w:szCs w:val="24"/>
          <w:rtl/>
        </w:rPr>
      </w:pPr>
      <w:r>
        <w:rPr>
          <w:rFonts w:ascii="David" w:hAnsi="David" w:cs="David"/>
          <w:sz w:val="24"/>
          <w:szCs w:val="24"/>
          <w:rtl/>
        </w:rPr>
        <w:t>קריאה פשוטה של שני הסעיפים מלמדת כי לכל אחד מהם מטרה משלו, ואין כל קשר ביניהם, מעבר לסמיכותם:</w:t>
      </w:r>
    </w:p>
    <w:p w:rsidR="00CD25CB" w:rsidRDefault="00CD25CB" w:rsidP="00CC5709">
      <w:pPr>
        <w:pStyle w:val="ad"/>
        <w:spacing w:line="240" w:lineRule="auto"/>
        <w:rPr>
          <w:rFonts w:ascii="David" w:hAnsi="David" w:cs="David"/>
          <w:sz w:val="24"/>
          <w:szCs w:val="24"/>
        </w:rPr>
      </w:pPr>
    </w:p>
    <w:p w:rsidR="00CD25CB" w:rsidRDefault="00CD25CB" w:rsidP="001615DE">
      <w:pPr>
        <w:pStyle w:val="ad"/>
        <w:numPr>
          <w:ilvl w:val="0"/>
          <w:numId w:val="1"/>
        </w:numPr>
        <w:spacing w:line="360" w:lineRule="auto"/>
        <w:ind w:left="-58" w:firstLine="0"/>
        <w:jc w:val="both"/>
        <w:rPr>
          <w:rFonts w:ascii="David" w:hAnsi="David" w:cs="David"/>
          <w:sz w:val="24"/>
          <w:szCs w:val="24"/>
          <w:rtl/>
        </w:rPr>
      </w:pPr>
      <w:r>
        <w:rPr>
          <w:rFonts w:ascii="David" w:hAnsi="David" w:cs="David"/>
          <w:sz w:val="24"/>
          <w:szCs w:val="24"/>
          <w:rtl/>
        </w:rPr>
        <w:t xml:space="preserve">סעיף 254י"ג קובע כי מנהל היחידה הארצית לאכיפה או מנהל המחלקה לאכיפת דיני מקרקעין רשאים להורות על העברת הליכי אכיפה בעניין מסוים מידי הוועדה המקומית לידי גורם אחר שעליו יורה, המוסמך לנהל פעולות אכיפה, לפי חוק התו"ב. כמו כן, הסעיף מסמיך את השניים להעביר את הטיפול בכתב אישום שהוגש על ידי הוועדה המקומית, לתובע אחר. כבר נקבע פעמים רבות, כי סעיף זה אין עניינו בנטילת סמכות הוועדה המקומית, כי אם בקביעת </w:t>
      </w:r>
      <w:r>
        <w:rPr>
          <w:rFonts w:ascii="David" w:hAnsi="David" w:cs="David"/>
          <w:sz w:val="24"/>
          <w:szCs w:val="24"/>
          <w:u w:val="single"/>
          <w:rtl/>
        </w:rPr>
        <w:t>סמכות מקבילה</w:t>
      </w:r>
      <w:r>
        <w:rPr>
          <w:rFonts w:ascii="David" w:hAnsi="David" w:cs="David"/>
          <w:sz w:val="24"/>
          <w:szCs w:val="24"/>
          <w:rtl/>
        </w:rPr>
        <w:t xml:space="preserve"> בידי הוועדה המקומית ובידי מנהל היחידה הארצית לאכיפה, או מנהל המחלקה לאכיפת דיני מקרקעין, וזאת הן בנוגע להגשת כתבי אישום, והן בנוגע להוצאת צווים מנהליים, או עתירה למתן צווים שיפוטיים (עפ"א (חי') 31337-07-19 </w:t>
      </w:r>
      <w:r>
        <w:rPr>
          <w:rFonts w:ascii="David" w:hAnsi="David" w:cs="David"/>
          <w:b/>
          <w:bCs/>
          <w:sz w:val="24"/>
          <w:szCs w:val="24"/>
          <w:rtl/>
        </w:rPr>
        <w:t>עתאמנה נ' היחידה הארצית לאכיפה</w:t>
      </w:r>
      <w:r>
        <w:rPr>
          <w:rFonts w:ascii="David" w:hAnsi="David" w:cs="David"/>
          <w:sz w:val="24"/>
          <w:szCs w:val="24"/>
          <w:rtl/>
        </w:rPr>
        <w:t xml:space="preserve"> (22.7.19); בצה"מ 65106-07-23 </w:t>
      </w:r>
      <w:r>
        <w:rPr>
          <w:rFonts w:ascii="David" w:hAnsi="David" w:cs="David"/>
          <w:b/>
          <w:bCs/>
          <w:sz w:val="24"/>
          <w:szCs w:val="24"/>
          <w:rtl/>
        </w:rPr>
        <w:t>אבו סילמי נ' הרשות לאכיפה במקרקעין</w:t>
      </w:r>
      <w:r>
        <w:rPr>
          <w:rFonts w:ascii="David" w:hAnsi="David" w:cs="David"/>
          <w:sz w:val="24"/>
          <w:szCs w:val="24"/>
          <w:rtl/>
        </w:rPr>
        <w:t xml:space="preserve"> (22.8.23); עפ"א (חי') 18458-04-19 </w:t>
      </w:r>
      <w:r>
        <w:rPr>
          <w:rFonts w:ascii="David" w:hAnsi="David" w:cs="David"/>
          <w:b/>
          <w:bCs/>
          <w:sz w:val="24"/>
          <w:szCs w:val="24"/>
          <w:rtl/>
        </w:rPr>
        <w:t>איבראהים נ' ו' מקומית עירון</w:t>
      </w:r>
      <w:r>
        <w:rPr>
          <w:rFonts w:ascii="David" w:hAnsi="David" w:cs="David"/>
          <w:sz w:val="24"/>
          <w:szCs w:val="24"/>
          <w:rtl/>
        </w:rPr>
        <w:t xml:space="preserve"> (28.5.19); בצה"מ 42783-06-23 </w:t>
      </w:r>
      <w:r>
        <w:rPr>
          <w:rFonts w:ascii="David" w:hAnsi="David" w:cs="David"/>
          <w:b/>
          <w:bCs/>
          <w:sz w:val="24"/>
          <w:szCs w:val="24"/>
          <w:rtl/>
        </w:rPr>
        <w:t>בדראן נ' היחידה הארצית לאכיפה</w:t>
      </w:r>
      <w:r>
        <w:rPr>
          <w:rFonts w:ascii="David" w:hAnsi="David" w:cs="David"/>
          <w:sz w:val="24"/>
          <w:szCs w:val="24"/>
          <w:rtl/>
        </w:rPr>
        <w:t xml:space="preserve"> (18.4.24)).</w:t>
      </w:r>
      <w:r w:rsidR="00683F48">
        <w:rPr>
          <w:rFonts w:ascii="David" w:hAnsi="David" w:cs="David" w:hint="cs"/>
          <w:sz w:val="24"/>
          <w:szCs w:val="24"/>
          <w:rtl/>
        </w:rPr>
        <w:t xml:space="preserve"> מטרתו של הסעיף היא לאפשר מרחב פעולה לגורמי האכיפה הבכירים, לצורך ייעול האכיפה במקרים שבהם העניין הציבורי דורש </w:t>
      </w:r>
      <w:r w:rsidR="00D81AF8">
        <w:rPr>
          <w:rFonts w:ascii="David" w:hAnsi="David" w:cs="David" w:hint="cs"/>
          <w:sz w:val="24"/>
          <w:szCs w:val="24"/>
          <w:rtl/>
        </w:rPr>
        <w:t>זאת</w:t>
      </w:r>
      <w:r w:rsidR="001615DE">
        <w:rPr>
          <w:rFonts w:ascii="David" w:hAnsi="David" w:cs="David" w:hint="cs"/>
          <w:sz w:val="24"/>
          <w:szCs w:val="24"/>
          <w:rtl/>
        </w:rPr>
        <w:t>, ו</w:t>
      </w:r>
      <w:r w:rsidR="00262D6C">
        <w:rPr>
          <w:rFonts w:ascii="David" w:hAnsi="David" w:cs="David" w:hint="cs"/>
          <w:sz w:val="24"/>
          <w:szCs w:val="24"/>
          <w:rtl/>
        </w:rPr>
        <w:t xml:space="preserve">הסדר </w:t>
      </w:r>
      <w:r w:rsidR="00D81AF8">
        <w:rPr>
          <w:rFonts w:ascii="David" w:hAnsi="David" w:cs="David" w:hint="cs"/>
          <w:sz w:val="24"/>
          <w:szCs w:val="24"/>
          <w:rtl/>
        </w:rPr>
        <w:t>זה אינו חריג</w:t>
      </w:r>
      <w:r w:rsidR="001615DE">
        <w:rPr>
          <w:rFonts w:ascii="David" w:hAnsi="David" w:cs="David" w:hint="cs"/>
          <w:sz w:val="24"/>
          <w:szCs w:val="24"/>
          <w:rtl/>
        </w:rPr>
        <w:t xml:space="preserve"> בדין הפלילי. </w:t>
      </w:r>
      <w:r w:rsidR="00D81AF8">
        <w:rPr>
          <w:rFonts w:ascii="David" w:hAnsi="David" w:cs="David" w:hint="cs"/>
          <w:sz w:val="24"/>
          <w:szCs w:val="24"/>
          <w:rtl/>
        </w:rPr>
        <w:t>למעשה</w:t>
      </w:r>
      <w:r w:rsidR="001615DE">
        <w:rPr>
          <w:rFonts w:ascii="David" w:hAnsi="David" w:cs="David" w:hint="cs"/>
          <w:sz w:val="24"/>
          <w:szCs w:val="24"/>
          <w:rtl/>
        </w:rPr>
        <w:t>,</w:t>
      </w:r>
      <w:r w:rsidR="00D81AF8">
        <w:rPr>
          <w:rFonts w:ascii="David" w:hAnsi="David" w:cs="David" w:hint="cs"/>
          <w:sz w:val="24"/>
          <w:szCs w:val="24"/>
          <w:rtl/>
        </w:rPr>
        <w:t xml:space="preserve"> </w:t>
      </w:r>
      <w:r w:rsidR="005F7BB4">
        <w:rPr>
          <w:rFonts w:ascii="David" w:hAnsi="David" w:cs="David" w:hint="cs"/>
          <w:sz w:val="24"/>
          <w:szCs w:val="24"/>
          <w:rtl/>
        </w:rPr>
        <w:t>קיים דמיון רב בינו ובין ההוראה הכללית הקבועה ב</w:t>
      </w:r>
      <w:r w:rsidR="00D81AF8">
        <w:rPr>
          <w:rFonts w:ascii="David" w:hAnsi="David" w:cs="David" w:hint="cs"/>
          <w:sz w:val="24"/>
          <w:szCs w:val="24"/>
          <w:rtl/>
        </w:rPr>
        <w:t>סעיף 60(ה)(1) לחסד"פ</w:t>
      </w:r>
      <w:r w:rsidR="005F7BB4">
        <w:rPr>
          <w:rFonts w:ascii="David" w:hAnsi="David" w:cs="David" w:hint="cs"/>
          <w:sz w:val="24"/>
          <w:szCs w:val="24"/>
          <w:rtl/>
        </w:rPr>
        <w:t>, לפיה</w:t>
      </w:r>
      <w:r w:rsidR="00D81AF8">
        <w:rPr>
          <w:rFonts w:ascii="David" w:hAnsi="David" w:cs="David" w:hint="cs"/>
          <w:sz w:val="24"/>
          <w:szCs w:val="24"/>
          <w:rtl/>
        </w:rPr>
        <w:t xml:space="preserve"> פרקליט</w:t>
      </w:r>
      <w:r w:rsidR="00D81AF8">
        <w:rPr>
          <w:rFonts w:ascii="David" w:hAnsi="David" w:cs="David" w:hint="cs"/>
          <w:color w:val="000000"/>
          <w:sz w:val="24"/>
          <w:szCs w:val="24"/>
          <w:rtl/>
        </w:rPr>
        <w:t xml:space="preserve"> </w:t>
      </w:r>
      <w:r w:rsidR="00D81AF8" w:rsidRPr="00D81AF8">
        <w:rPr>
          <w:rFonts w:ascii="David" w:hAnsi="David" w:cs="David"/>
          <w:color w:val="000000"/>
          <w:sz w:val="24"/>
          <w:szCs w:val="24"/>
          <w:rtl/>
        </w:rPr>
        <w:t xml:space="preserve">מחוז רשאי להחליט </w:t>
      </w:r>
      <w:r w:rsidR="005F7BB4">
        <w:rPr>
          <w:rFonts w:ascii="David" w:hAnsi="David" w:cs="David" w:hint="cs"/>
          <w:color w:val="000000"/>
          <w:sz w:val="24"/>
          <w:szCs w:val="24"/>
          <w:rtl/>
        </w:rPr>
        <w:t>כי</w:t>
      </w:r>
      <w:r w:rsidR="00D81AF8">
        <w:rPr>
          <w:rFonts w:ascii="David" w:hAnsi="David" w:cs="David" w:hint="cs"/>
          <w:color w:val="000000"/>
          <w:sz w:val="24"/>
          <w:szCs w:val="24"/>
          <w:rtl/>
        </w:rPr>
        <w:t xml:space="preserve"> </w:t>
      </w:r>
      <w:r w:rsidR="00D81AF8" w:rsidRPr="00D81AF8">
        <w:rPr>
          <w:rFonts w:ascii="David" w:hAnsi="David" w:cs="David"/>
          <w:color w:val="000000"/>
          <w:sz w:val="24"/>
          <w:szCs w:val="24"/>
          <w:rtl/>
        </w:rPr>
        <w:t>חומר חקירה מסוים שהושג בעבירת פשע או עוון, שהיא בתחום טיפולו של תובע משטרתי או</w:t>
      </w:r>
      <w:r w:rsidR="00D81AF8">
        <w:rPr>
          <w:rFonts w:ascii="David" w:hAnsi="David" w:cs="David"/>
          <w:color w:val="000000"/>
          <w:sz w:val="24"/>
          <w:szCs w:val="24"/>
          <w:rtl/>
        </w:rPr>
        <w:t xml:space="preserve"> בסוג מסוים של תיקים או עניינים</w:t>
      </w:r>
      <w:r w:rsidR="00D81AF8">
        <w:rPr>
          <w:rFonts w:ascii="David" w:hAnsi="David" w:cs="David" w:hint="cs"/>
          <w:color w:val="000000"/>
          <w:sz w:val="24"/>
          <w:szCs w:val="24"/>
          <w:rtl/>
        </w:rPr>
        <w:t xml:space="preserve">, </w:t>
      </w:r>
      <w:r w:rsidR="00D81AF8" w:rsidRPr="00D81AF8">
        <w:rPr>
          <w:rFonts w:ascii="David" w:hAnsi="David" w:cs="David"/>
          <w:color w:val="000000"/>
          <w:sz w:val="24"/>
          <w:szCs w:val="24"/>
          <w:rtl/>
        </w:rPr>
        <w:t>יועבר לטיפולו של פרקליט</w:t>
      </w:r>
      <w:r w:rsidR="00D81AF8">
        <w:rPr>
          <w:rFonts w:ascii="David" w:hAnsi="David" w:cs="David" w:hint="cs"/>
          <w:color w:val="000000"/>
          <w:sz w:val="24"/>
          <w:szCs w:val="24"/>
          <w:rtl/>
        </w:rPr>
        <w:t>.</w:t>
      </w:r>
    </w:p>
    <w:p w:rsidR="00CD25CB" w:rsidRDefault="00CD25CB" w:rsidP="00CC5709">
      <w:pPr>
        <w:pStyle w:val="ad"/>
        <w:spacing w:line="240" w:lineRule="auto"/>
        <w:ind w:left="-58" w:firstLine="778"/>
        <w:jc w:val="both"/>
        <w:rPr>
          <w:rFonts w:ascii="David" w:hAnsi="David" w:cs="David"/>
          <w:sz w:val="24"/>
          <w:szCs w:val="24"/>
          <w:rtl/>
        </w:rPr>
      </w:pPr>
    </w:p>
    <w:p w:rsidR="00CD25CB" w:rsidRDefault="00CD25CB" w:rsidP="00840AF8">
      <w:pPr>
        <w:pStyle w:val="ad"/>
        <w:numPr>
          <w:ilvl w:val="0"/>
          <w:numId w:val="1"/>
        </w:numPr>
        <w:spacing w:line="360" w:lineRule="auto"/>
        <w:ind w:left="-58" w:firstLine="0"/>
        <w:jc w:val="both"/>
        <w:rPr>
          <w:rFonts w:ascii="David" w:hAnsi="David" w:cs="David"/>
          <w:sz w:val="24"/>
          <w:szCs w:val="24"/>
          <w:rtl/>
        </w:rPr>
      </w:pPr>
      <w:r>
        <w:rPr>
          <w:rFonts w:ascii="David" w:hAnsi="David" w:cs="David"/>
          <w:sz w:val="24"/>
          <w:szCs w:val="24"/>
          <w:rtl/>
        </w:rPr>
        <w:t xml:space="preserve">בשונה מכך, סעיף 254י"ד, על פי לשונו, עוסק במצב הבעייתי שבו עולה כי הוועדה המקומית "אינה ממלאת את התפקידים המוטלים עליה" במישור האכיפה, כך שעולה חשש לכך שתידרש נטילת הסמכות מידיה, והגשת כתבי אישום במקומה, בין בכל מרחב התכנון ובין באזור מסוים. מצב שכזה עלול להיגרם כתוצאה ממספר תרחישים, ובין היתר: מחסור קשה בכוח אדם, או ניגוד עניינים המביא להחלשת גורמי האכיפה מול גורמים מקומיים כלשהם. ככל שמתעורר מצב רגיש שכזה, קובע סעיף י"ד כי יש לקיים הליך זהיר ושקול, לשם בירור הצורך </w:t>
      </w:r>
      <w:r>
        <w:rPr>
          <w:rFonts w:ascii="David" w:hAnsi="David" w:cs="David"/>
          <w:sz w:val="24"/>
          <w:szCs w:val="24"/>
          <w:u w:val="single"/>
          <w:rtl/>
        </w:rPr>
        <w:t>בנטילת הסמכות</w:t>
      </w:r>
      <w:r>
        <w:rPr>
          <w:rFonts w:ascii="David" w:hAnsi="David" w:cs="David"/>
          <w:sz w:val="24"/>
          <w:szCs w:val="24"/>
          <w:rtl/>
        </w:rPr>
        <w:t xml:space="preserve"> מידי הוועדה המקומית, ובין היתר: יש לפנות אל הוועדה המקומית תוך דרישה כי תמלא תפקידה בתוך תקופה שתיקבע; יש לקבל המלצת וועדה מייעצת שהתייעצה עם מנהל חטיבת השמירה על הקרקע ברשות מקרקעי ישראל; יש לתת זכות טיעון ליו"ר הועדה המקומית; יש לקבל אישור היועץ המשפטי לממשלה</w:t>
      </w:r>
      <w:r w:rsidR="001B2878">
        <w:rPr>
          <w:rFonts w:ascii="David" w:hAnsi="David" w:cs="David" w:hint="cs"/>
          <w:sz w:val="24"/>
          <w:szCs w:val="24"/>
          <w:rtl/>
        </w:rPr>
        <w:t>, לנטילת הסמכות</w:t>
      </w:r>
      <w:r>
        <w:rPr>
          <w:rFonts w:ascii="David" w:hAnsi="David" w:cs="David"/>
          <w:sz w:val="24"/>
          <w:szCs w:val="24"/>
          <w:rtl/>
        </w:rPr>
        <w:t xml:space="preserve">. על פי הוראת סעיף 254י"ד(ד)(2), ככל שהושלם הליך הבירור </w:t>
      </w:r>
      <w:r>
        <w:rPr>
          <w:rFonts w:ascii="David" w:hAnsi="David" w:cs="David"/>
          <w:sz w:val="24"/>
          <w:szCs w:val="24"/>
          <w:rtl/>
        </w:rPr>
        <w:lastRenderedPageBreak/>
        <w:t xml:space="preserve">והוחלט על נטילת הסמכות, יהיו היחידה הארצית לאכיפה או המחלקה לאכיפת דיני מקרקעין, רשאיות להפעיל בעצמן את הסמכויות שניטלו מהוועדה המקומית, ופעולות שייעשו על ידיהן, יראו אותן כאילו נעשו על ידי הוועדה המקומית. </w:t>
      </w:r>
    </w:p>
    <w:p w:rsidR="00CD25CB" w:rsidRDefault="00CD25CB" w:rsidP="00CC5709">
      <w:pPr>
        <w:pStyle w:val="ad"/>
        <w:spacing w:line="240" w:lineRule="auto"/>
        <w:ind w:left="-58" w:firstLine="778"/>
        <w:jc w:val="both"/>
        <w:rPr>
          <w:rFonts w:ascii="David" w:hAnsi="David" w:cs="David"/>
          <w:sz w:val="24"/>
          <w:szCs w:val="24"/>
          <w:rtl/>
        </w:rPr>
      </w:pPr>
    </w:p>
    <w:p w:rsidR="00CD25CB" w:rsidRDefault="001B2878" w:rsidP="00840AF8">
      <w:pPr>
        <w:pStyle w:val="ad"/>
        <w:numPr>
          <w:ilvl w:val="0"/>
          <w:numId w:val="1"/>
        </w:numPr>
        <w:spacing w:line="360" w:lineRule="auto"/>
        <w:ind w:left="-58" w:firstLine="0"/>
        <w:jc w:val="both"/>
        <w:rPr>
          <w:rFonts w:ascii="David" w:hAnsi="David" w:cs="David"/>
          <w:sz w:val="24"/>
          <w:szCs w:val="24"/>
        </w:rPr>
      </w:pPr>
      <w:r>
        <w:rPr>
          <w:rFonts w:ascii="David" w:hAnsi="David" w:cs="David" w:hint="cs"/>
          <w:sz w:val="24"/>
          <w:szCs w:val="24"/>
          <w:rtl/>
        </w:rPr>
        <w:t>נקל להבין</w:t>
      </w:r>
      <w:r w:rsidR="00840AF8">
        <w:rPr>
          <w:rFonts w:ascii="David" w:hAnsi="David" w:cs="David" w:hint="cs"/>
          <w:sz w:val="24"/>
          <w:szCs w:val="24"/>
          <w:rtl/>
        </w:rPr>
        <w:t xml:space="preserve"> כעת</w:t>
      </w:r>
      <w:r w:rsidR="00CD25CB">
        <w:rPr>
          <w:rFonts w:ascii="David" w:hAnsi="David" w:cs="David"/>
          <w:sz w:val="24"/>
          <w:szCs w:val="24"/>
          <w:rtl/>
        </w:rPr>
        <w:t xml:space="preserve">, </w:t>
      </w:r>
      <w:r>
        <w:rPr>
          <w:rFonts w:ascii="David" w:hAnsi="David" w:cs="David" w:hint="cs"/>
          <w:sz w:val="24"/>
          <w:szCs w:val="24"/>
          <w:rtl/>
        </w:rPr>
        <w:t xml:space="preserve">כי אין כל זיקה עניינית בין </w:t>
      </w:r>
      <w:r w:rsidR="00840AF8">
        <w:rPr>
          <w:rFonts w:ascii="David" w:hAnsi="David" w:cs="David" w:hint="cs"/>
          <w:sz w:val="24"/>
          <w:szCs w:val="24"/>
          <w:rtl/>
        </w:rPr>
        <w:t xml:space="preserve">סעיף י"ג לסעיף י"ד, וכל אחד מהם נועד להסדיר סוגיה שונה בתכלית. לפיכך, </w:t>
      </w:r>
      <w:r w:rsidR="00CD25CB">
        <w:rPr>
          <w:rFonts w:ascii="David" w:hAnsi="David" w:cs="David"/>
          <w:sz w:val="24"/>
          <w:szCs w:val="24"/>
          <w:rtl/>
        </w:rPr>
        <w:t xml:space="preserve">אין כל מקום לבלבול בין קיומה של </w:t>
      </w:r>
      <w:r w:rsidR="00CD25CB" w:rsidRPr="00840AF8">
        <w:rPr>
          <w:rFonts w:ascii="David" w:hAnsi="David" w:cs="David"/>
          <w:sz w:val="24"/>
          <w:szCs w:val="24"/>
          <w:u w:val="single"/>
          <w:rtl/>
        </w:rPr>
        <w:t>סמכות מקבילה</w:t>
      </w:r>
      <w:r w:rsidR="00CD25CB">
        <w:rPr>
          <w:rFonts w:ascii="David" w:hAnsi="David" w:cs="David"/>
          <w:sz w:val="24"/>
          <w:szCs w:val="24"/>
          <w:rtl/>
        </w:rPr>
        <w:t xml:space="preserve"> בידי היחידה הארצית לאכיפה או המחלקה לאכיפת דיני מקרקעין ל</w:t>
      </w:r>
      <w:r w:rsidR="00840AF8">
        <w:rPr>
          <w:rFonts w:ascii="David" w:hAnsi="David" w:cs="David" w:hint="cs"/>
          <w:sz w:val="24"/>
          <w:szCs w:val="24"/>
          <w:rtl/>
        </w:rPr>
        <w:t xml:space="preserve">שם </w:t>
      </w:r>
      <w:r w:rsidR="00CD25CB">
        <w:rPr>
          <w:rFonts w:ascii="David" w:hAnsi="David" w:cs="David"/>
          <w:sz w:val="24"/>
          <w:szCs w:val="24"/>
          <w:rtl/>
        </w:rPr>
        <w:t xml:space="preserve">ביצוע כל פעולת אכיפה, ובין סמכותם של גורמים אלה </w:t>
      </w:r>
      <w:r w:rsidR="00840AF8" w:rsidRPr="00840AF8">
        <w:rPr>
          <w:rFonts w:ascii="David" w:hAnsi="David" w:cs="David" w:hint="cs"/>
          <w:sz w:val="24"/>
          <w:szCs w:val="24"/>
          <w:u w:val="single"/>
          <w:rtl/>
        </w:rPr>
        <w:t>ליטול את ה</w:t>
      </w:r>
      <w:r w:rsidR="00CD25CB" w:rsidRPr="00840AF8">
        <w:rPr>
          <w:rFonts w:ascii="David" w:hAnsi="David" w:cs="David"/>
          <w:sz w:val="24"/>
          <w:szCs w:val="24"/>
          <w:u w:val="single"/>
          <w:rtl/>
        </w:rPr>
        <w:t>סמכות</w:t>
      </w:r>
      <w:r w:rsidR="00CD25CB">
        <w:rPr>
          <w:rFonts w:ascii="David" w:hAnsi="David" w:cs="David"/>
          <w:sz w:val="24"/>
          <w:szCs w:val="24"/>
          <w:rtl/>
        </w:rPr>
        <w:t xml:space="preserve"> מידי הוועדה המקומית, ב</w:t>
      </w:r>
      <w:r w:rsidR="00840AF8">
        <w:rPr>
          <w:rFonts w:ascii="David" w:hAnsi="David" w:cs="David" w:hint="cs"/>
          <w:sz w:val="24"/>
          <w:szCs w:val="24"/>
          <w:rtl/>
        </w:rPr>
        <w:t xml:space="preserve">מקרה </w:t>
      </w:r>
      <w:r w:rsidR="00CD25CB">
        <w:rPr>
          <w:rFonts w:ascii="David" w:hAnsi="David" w:cs="David"/>
          <w:sz w:val="24"/>
          <w:szCs w:val="24"/>
          <w:rtl/>
        </w:rPr>
        <w:t>של אי מילוי תפקידיה.</w:t>
      </w:r>
    </w:p>
    <w:p w:rsidR="00CC5709" w:rsidRDefault="00CC5709" w:rsidP="00CC5709">
      <w:pPr>
        <w:pStyle w:val="ad"/>
        <w:spacing w:line="240" w:lineRule="auto"/>
        <w:ind w:left="-58"/>
        <w:jc w:val="both"/>
        <w:rPr>
          <w:rFonts w:ascii="David" w:hAnsi="David" w:cs="David"/>
          <w:sz w:val="24"/>
          <w:szCs w:val="24"/>
          <w:rtl/>
        </w:rPr>
      </w:pPr>
    </w:p>
    <w:p w:rsidR="00CD25CB" w:rsidRDefault="00CD25CB" w:rsidP="00BA6484">
      <w:pPr>
        <w:pStyle w:val="ad"/>
        <w:numPr>
          <w:ilvl w:val="0"/>
          <w:numId w:val="1"/>
        </w:numPr>
        <w:spacing w:line="360" w:lineRule="auto"/>
        <w:ind w:left="-58" w:firstLine="0"/>
        <w:jc w:val="both"/>
        <w:rPr>
          <w:rFonts w:ascii="David" w:hAnsi="David" w:cs="David"/>
          <w:sz w:val="24"/>
          <w:szCs w:val="24"/>
        </w:rPr>
      </w:pPr>
      <w:r>
        <w:rPr>
          <w:rFonts w:ascii="David" w:hAnsi="David" w:cs="David"/>
          <w:sz w:val="24"/>
          <w:szCs w:val="24"/>
          <w:rtl/>
        </w:rPr>
        <w:t xml:space="preserve">במקרה שלפנינו, לא נטען ולא הוכח כי הגשת כתב האישום נעשתה על ידי המאשימה במסגרת של נטילת הסמכות מידי הוועדה המקומית, ולא נטען </w:t>
      </w:r>
      <w:r w:rsidR="00840AF8">
        <w:rPr>
          <w:rFonts w:ascii="David" w:hAnsi="David" w:cs="David" w:hint="cs"/>
          <w:sz w:val="24"/>
          <w:szCs w:val="24"/>
          <w:rtl/>
        </w:rPr>
        <w:t xml:space="preserve">בשום אופן כי זו </w:t>
      </w:r>
      <w:r>
        <w:rPr>
          <w:rFonts w:ascii="David" w:hAnsi="David" w:cs="David"/>
          <w:sz w:val="24"/>
          <w:szCs w:val="24"/>
          <w:rtl/>
        </w:rPr>
        <w:t>אינה ממלאת את תפקידיה. הנכון הוא כי משיקולי</w:t>
      </w:r>
      <w:r w:rsidR="00840AF8">
        <w:rPr>
          <w:rFonts w:ascii="David" w:hAnsi="David" w:cs="David" w:hint="cs"/>
          <w:sz w:val="24"/>
          <w:szCs w:val="24"/>
          <w:rtl/>
        </w:rPr>
        <w:t xml:space="preserve"> אכיפה כלשהם, </w:t>
      </w:r>
      <w:r>
        <w:rPr>
          <w:rFonts w:ascii="David" w:hAnsi="David" w:cs="David"/>
          <w:sz w:val="24"/>
          <w:szCs w:val="24"/>
          <w:rtl/>
        </w:rPr>
        <w:t>בחרה ה</w:t>
      </w:r>
      <w:r w:rsidR="00840AF8">
        <w:rPr>
          <w:rFonts w:ascii="David" w:hAnsi="David" w:cs="David" w:hint="cs"/>
          <w:sz w:val="24"/>
          <w:szCs w:val="24"/>
          <w:rtl/>
        </w:rPr>
        <w:t xml:space="preserve">מאשימה </w:t>
      </w:r>
      <w:r>
        <w:rPr>
          <w:rFonts w:ascii="David" w:hAnsi="David" w:cs="David"/>
          <w:sz w:val="24"/>
          <w:szCs w:val="24"/>
          <w:rtl/>
        </w:rPr>
        <w:t>לעשות שימוש בסמכותה המקבילה, ו</w:t>
      </w:r>
      <w:r w:rsidR="00840AF8">
        <w:rPr>
          <w:rFonts w:ascii="David" w:hAnsi="David" w:cs="David" w:hint="cs"/>
          <w:sz w:val="24"/>
          <w:szCs w:val="24"/>
          <w:rtl/>
        </w:rPr>
        <w:t>להגיש את כתב האישום</w:t>
      </w:r>
      <w:r w:rsidR="00F169BD">
        <w:rPr>
          <w:rFonts w:ascii="David" w:hAnsi="David" w:cs="David" w:hint="cs"/>
          <w:sz w:val="24"/>
          <w:szCs w:val="24"/>
          <w:rtl/>
        </w:rPr>
        <w:t xml:space="preserve"> דנן</w:t>
      </w:r>
      <w:r>
        <w:rPr>
          <w:rFonts w:ascii="David" w:hAnsi="David" w:cs="David"/>
          <w:sz w:val="24"/>
          <w:szCs w:val="24"/>
          <w:rtl/>
        </w:rPr>
        <w:t xml:space="preserve">. לפיכך, לא </w:t>
      </w:r>
      <w:r w:rsidR="00BA6484">
        <w:rPr>
          <w:rFonts w:ascii="David" w:hAnsi="David" w:cs="David" w:hint="cs"/>
          <w:sz w:val="24"/>
          <w:szCs w:val="24"/>
          <w:rtl/>
        </w:rPr>
        <w:t xml:space="preserve">נפל פגם בהגשת כתב האישום, ולא </w:t>
      </w:r>
      <w:r>
        <w:rPr>
          <w:rFonts w:ascii="David" w:hAnsi="David" w:cs="David"/>
          <w:sz w:val="24"/>
          <w:szCs w:val="24"/>
          <w:rtl/>
        </w:rPr>
        <w:t>היה על המאשימה להקדים ולמלא אחר התנאים המפורטים בסעיף י"ד</w:t>
      </w:r>
      <w:r w:rsidR="00BA6484">
        <w:rPr>
          <w:rFonts w:ascii="David" w:hAnsi="David" w:cs="David" w:hint="cs"/>
          <w:sz w:val="24"/>
          <w:szCs w:val="24"/>
          <w:rtl/>
        </w:rPr>
        <w:t>.</w:t>
      </w:r>
    </w:p>
    <w:p w:rsidR="00CD25CB" w:rsidRDefault="00CD25CB" w:rsidP="00CD25CB">
      <w:pPr>
        <w:pStyle w:val="ad"/>
        <w:spacing w:line="360" w:lineRule="auto"/>
        <w:ind w:left="-58"/>
        <w:jc w:val="both"/>
        <w:rPr>
          <w:rFonts w:ascii="David" w:hAnsi="David" w:cs="David"/>
          <w:sz w:val="24"/>
          <w:szCs w:val="24"/>
        </w:rPr>
      </w:pPr>
    </w:p>
    <w:p w:rsidR="00CD25CB" w:rsidRDefault="00CD25CB" w:rsidP="00CD25CB">
      <w:pPr>
        <w:pStyle w:val="ad"/>
        <w:spacing w:line="360" w:lineRule="auto"/>
        <w:ind w:left="-58"/>
        <w:jc w:val="both"/>
        <w:rPr>
          <w:rFonts w:ascii="David" w:hAnsi="David" w:cs="David"/>
          <w:b/>
          <w:bCs/>
          <w:sz w:val="24"/>
          <w:szCs w:val="24"/>
          <w:u w:val="single"/>
          <w:rtl/>
        </w:rPr>
      </w:pPr>
      <w:r>
        <w:rPr>
          <w:rFonts w:ascii="David" w:hAnsi="David" w:cs="David"/>
          <w:b/>
          <w:bCs/>
          <w:sz w:val="24"/>
          <w:szCs w:val="24"/>
          <w:u w:val="single"/>
          <w:rtl/>
        </w:rPr>
        <w:t xml:space="preserve">פגם בשיקול הדעת </w:t>
      </w:r>
    </w:p>
    <w:p w:rsidR="00CD25CB" w:rsidRDefault="00CD25CB" w:rsidP="00CC5709">
      <w:pPr>
        <w:pStyle w:val="ad"/>
        <w:spacing w:line="240" w:lineRule="auto"/>
        <w:ind w:left="-58"/>
        <w:jc w:val="both"/>
        <w:rPr>
          <w:rFonts w:ascii="David" w:hAnsi="David" w:cs="David"/>
          <w:b/>
          <w:bCs/>
          <w:sz w:val="24"/>
          <w:szCs w:val="24"/>
          <w:u w:val="single"/>
          <w:rtl/>
        </w:rPr>
      </w:pPr>
    </w:p>
    <w:p w:rsidR="00CD25CB" w:rsidRDefault="00CD25CB" w:rsidP="00CD25CB">
      <w:pPr>
        <w:pStyle w:val="ad"/>
        <w:numPr>
          <w:ilvl w:val="0"/>
          <w:numId w:val="1"/>
        </w:numPr>
        <w:spacing w:line="360" w:lineRule="auto"/>
        <w:ind w:left="-58" w:firstLine="0"/>
        <w:jc w:val="both"/>
        <w:rPr>
          <w:rFonts w:ascii="David" w:hAnsi="David" w:cs="David"/>
          <w:sz w:val="24"/>
          <w:szCs w:val="24"/>
          <w:rtl/>
        </w:rPr>
      </w:pPr>
      <w:r>
        <w:rPr>
          <w:rFonts w:ascii="David" w:hAnsi="David" w:cs="David"/>
          <w:sz w:val="24"/>
          <w:szCs w:val="24"/>
          <w:rtl/>
        </w:rPr>
        <w:t>הנאשם טוען כי נפל פגם בשיקול הדעת בהגשת כתב האישום, בשל כך שהשימוש האסור הופסק עוד בטרם הוגש כתב האישום, והמאשימה אף הסכימה לחזור בה מבקשתה לצו הפסקה שיפוטי בעניין העבירה.</w:t>
      </w:r>
    </w:p>
    <w:p w:rsidR="00CD25CB" w:rsidRDefault="00CD25CB" w:rsidP="00CC5709">
      <w:pPr>
        <w:pStyle w:val="ad"/>
        <w:spacing w:line="240" w:lineRule="auto"/>
        <w:ind w:left="-58"/>
        <w:jc w:val="both"/>
        <w:rPr>
          <w:rFonts w:ascii="David" w:hAnsi="David" w:cs="David"/>
          <w:sz w:val="24"/>
          <w:szCs w:val="24"/>
        </w:rPr>
      </w:pPr>
    </w:p>
    <w:p w:rsidR="00CD25CB" w:rsidRDefault="00CD25CB" w:rsidP="00CD25CB">
      <w:pPr>
        <w:pStyle w:val="ad"/>
        <w:numPr>
          <w:ilvl w:val="0"/>
          <w:numId w:val="1"/>
        </w:numPr>
        <w:spacing w:line="360" w:lineRule="auto"/>
        <w:ind w:left="-58" w:firstLine="0"/>
        <w:jc w:val="both"/>
        <w:rPr>
          <w:rFonts w:ascii="David" w:hAnsi="David" w:cs="David"/>
          <w:sz w:val="24"/>
          <w:szCs w:val="24"/>
        </w:rPr>
      </w:pPr>
      <w:r>
        <w:rPr>
          <w:rFonts w:ascii="David" w:hAnsi="David" w:cs="David"/>
          <w:sz w:val="24"/>
          <w:szCs w:val="24"/>
          <w:rtl/>
        </w:rPr>
        <w:t>טענה זו מעוררת קושי רב, ממספר היבטים.</w:t>
      </w:r>
    </w:p>
    <w:p w:rsidR="00CD25CB" w:rsidRDefault="00CD25CB" w:rsidP="00CC5709">
      <w:pPr>
        <w:pStyle w:val="ad"/>
        <w:spacing w:line="240" w:lineRule="auto"/>
        <w:ind w:left="1440"/>
        <w:jc w:val="both"/>
        <w:rPr>
          <w:rFonts w:ascii="David" w:hAnsi="David" w:cs="David"/>
          <w:sz w:val="24"/>
          <w:szCs w:val="24"/>
        </w:rPr>
      </w:pPr>
    </w:p>
    <w:p w:rsidR="00CD25CB" w:rsidRDefault="00CD25CB" w:rsidP="007063BD">
      <w:pPr>
        <w:pStyle w:val="ad"/>
        <w:spacing w:line="360" w:lineRule="auto"/>
        <w:ind w:left="-58" w:firstLine="778"/>
        <w:jc w:val="both"/>
        <w:rPr>
          <w:rFonts w:ascii="David" w:hAnsi="David" w:cs="David"/>
          <w:sz w:val="24"/>
          <w:szCs w:val="24"/>
          <w:rtl/>
        </w:rPr>
      </w:pPr>
      <w:r>
        <w:rPr>
          <w:rFonts w:ascii="David" w:hAnsi="David" w:cs="David"/>
          <w:sz w:val="24"/>
          <w:szCs w:val="24"/>
          <w:rtl/>
        </w:rPr>
        <w:t xml:space="preserve">ראשית, לא מצאתי כי "פגם בשיקול הדעת" מהווה טענה מקדמית בהתאם לסעיף 149 לחוק סדר הדין הפלילי. יתרה מזו, נקבע </w:t>
      </w:r>
      <w:r w:rsidR="007063BD">
        <w:rPr>
          <w:rFonts w:ascii="David" w:hAnsi="David" w:cs="David" w:hint="cs"/>
          <w:sz w:val="24"/>
          <w:szCs w:val="24"/>
          <w:rtl/>
        </w:rPr>
        <w:t xml:space="preserve">בהלכת </w:t>
      </w:r>
      <w:r w:rsidR="007063BD" w:rsidRPr="007063BD">
        <w:rPr>
          <w:rFonts w:ascii="David" w:hAnsi="David" w:cs="David" w:hint="cs"/>
          <w:b/>
          <w:bCs/>
          <w:sz w:val="24"/>
          <w:szCs w:val="24"/>
          <w:rtl/>
        </w:rPr>
        <w:t>רותם</w:t>
      </w:r>
      <w:r w:rsidRPr="007063BD">
        <w:rPr>
          <w:rFonts w:ascii="David" w:hAnsi="David" w:cs="David"/>
          <w:b/>
          <w:bCs/>
          <w:sz w:val="24"/>
          <w:szCs w:val="24"/>
          <w:rtl/>
        </w:rPr>
        <w:t>,</w:t>
      </w:r>
      <w:r>
        <w:rPr>
          <w:rFonts w:ascii="David" w:hAnsi="David" w:cs="David"/>
          <w:sz w:val="24"/>
          <w:szCs w:val="24"/>
          <w:rtl/>
        </w:rPr>
        <w:t xml:space="preserve"> כי אין זה בסמכותו של בית המשפט לבחון את שיקול דעתן של רשויות התביעה, וכי בחינת סדרי הדין הנוהגים בפלילים מלמדת, ש"</w:t>
      </w:r>
      <w:r w:rsidRPr="001F2D6C">
        <w:rPr>
          <w:rFonts w:ascii="David" w:hAnsi="David" w:cs="David"/>
          <w:sz w:val="24"/>
          <w:szCs w:val="24"/>
          <w:rtl/>
        </w:rPr>
        <w:t>אין אפשרות לבחון, כטענה מקדמית, אם החלטת התובע להעמיד חשוד לדין – סבירה היא או מידתית"</w:t>
      </w:r>
      <w:r w:rsidRPr="00E91CCC">
        <w:rPr>
          <w:rFonts w:ascii="Miriam" w:hAnsi="Miriam" w:cs="Miriam"/>
          <w:rtl/>
        </w:rPr>
        <w:t xml:space="preserve"> </w:t>
      </w:r>
      <w:r>
        <w:rPr>
          <w:rFonts w:ascii="David" w:hAnsi="David" w:cs="David"/>
          <w:sz w:val="24"/>
          <w:szCs w:val="24"/>
          <w:rtl/>
        </w:rPr>
        <w:t xml:space="preserve">(רע"פ 7052/18 </w:t>
      </w:r>
      <w:r>
        <w:rPr>
          <w:rFonts w:ascii="David" w:hAnsi="David" w:cs="David"/>
          <w:b/>
          <w:bCs/>
          <w:sz w:val="24"/>
          <w:szCs w:val="24"/>
          <w:rtl/>
        </w:rPr>
        <w:t>מד"י נ' רותם</w:t>
      </w:r>
      <w:r>
        <w:rPr>
          <w:rFonts w:ascii="David" w:hAnsi="David" w:cs="David"/>
          <w:sz w:val="24"/>
          <w:szCs w:val="24"/>
          <w:rtl/>
        </w:rPr>
        <w:t xml:space="preserve"> (5.5.20); דנ"פ 5387/20 </w:t>
      </w:r>
      <w:r>
        <w:rPr>
          <w:rFonts w:ascii="David" w:hAnsi="David" w:cs="David"/>
          <w:b/>
          <w:bCs/>
          <w:sz w:val="24"/>
          <w:szCs w:val="24"/>
          <w:rtl/>
        </w:rPr>
        <w:t>רותם נ' מד"י</w:t>
      </w:r>
      <w:r>
        <w:rPr>
          <w:rFonts w:ascii="David" w:hAnsi="David" w:cs="David"/>
          <w:sz w:val="24"/>
          <w:szCs w:val="24"/>
          <w:rtl/>
        </w:rPr>
        <w:t xml:space="preserve"> (15.12.21)). </w:t>
      </w:r>
    </w:p>
    <w:p w:rsidR="00CD25CB" w:rsidRDefault="00CD25CB" w:rsidP="00CC5709">
      <w:pPr>
        <w:pStyle w:val="ad"/>
        <w:spacing w:line="240" w:lineRule="auto"/>
        <w:ind w:left="-58" w:firstLine="778"/>
        <w:jc w:val="both"/>
        <w:rPr>
          <w:rFonts w:ascii="David" w:hAnsi="David" w:cs="David"/>
          <w:sz w:val="24"/>
          <w:szCs w:val="24"/>
          <w:rtl/>
        </w:rPr>
      </w:pPr>
    </w:p>
    <w:p w:rsidR="00CD25CB" w:rsidRDefault="00CD25CB" w:rsidP="00CD25CB">
      <w:pPr>
        <w:pStyle w:val="ad"/>
        <w:spacing w:line="360" w:lineRule="auto"/>
        <w:ind w:left="-58" w:firstLine="778"/>
        <w:jc w:val="both"/>
        <w:rPr>
          <w:rFonts w:ascii="David" w:hAnsi="David" w:cs="David"/>
          <w:sz w:val="24"/>
          <w:szCs w:val="24"/>
          <w:rtl/>
        </w:rPr>
      </w:pPr>
      <w:r>
        <w:rPr>
          <w:rFonts w:ascii="David" w:hAnsi="David" w:cs="David"/>
          <w:sz w:val="24"/>
          <w:szCs w:val="24"/>
          <w:rtl/>
        </w:rPr>
        <w:t xml:space="preserve">שנית, כידוע אין כל מקום להשוואה בין הרציונל העומד בבסיס הליכים למתן צווים לפי חוק התו"ב, ובין ההליך הפלילי. בעוד שהצווים נועדו להביא להפסקת העבירות והשבת שלטון החוק והסדר הציבורי על כנם להבא, הרי מטרתו של ההליך הפלילי היא לדון את העבריין בגין מעשיו בעבר, ולהטיל עליו סנקציה עונשית (ע"פ 5584/03 </w:t>
      </w:r>
      <w:r>
        <w:rPr>
          <w:rFonts w:ascii="David" w:hAnsi="David" w:cs="David"/>
          <w:b/>
          <w:bCs/>
          <w:sz w:val="24"/>
          <w:szCs w:val="24"/>
          <w:rtl/>
        </w:rPr>
        <w:t>פינטו נ' עיריית חיפה</w:t>
      </w:r>
      <w:r>
        <w:rPr>
          <w:rFonts w:ascii="David" w:hAnsi="David" w:cs="David"/>
          <w:sz w:val="24"/>
          <w:szCs w:val="24"/>
          <w:rtl/>
        </w:rPr>
        <w:t xml:space="preserve"> (1.12.04); רע"פ 47/07 </w:t>
      </w:r>
      <w:r>
        <w:rPr>
          <w:rFonts w:ascii="David" w:hAnsi="David" w:cs="David"/>
          <w:b/>
          <w:bCs/>
          <w:sz w:val="24"/>
          <w:szCs w:val="24"/>
          <w:rtl/>
        </w:rPr>
        <w:t>מור נ' ו' מקומית גבעת אלונים</w:t>
      </w:r>
      <w:r>
        <w:rPr>
          <w:rFonts w:ascii="David" w:hAnsi="David" w:cs="David"/>
          <w:sz w:val="24"/>
          <w:szCs w:val="24"/>
          <w:rtl/>
        </w:rPr>
        <w:t xml:space="preserve"> (14.6.07)). לאור זאת, אין כל רלוונטיות בין העובדה שהמאשימה חזרה בה מעתירתה לצו הפסקת שימוש ובין הצורך לדון את הנאשם בגין העבירות הנטענות. </w:t>
      </w:r>
    </w:p>
    <w:p w:rsidR="00CD25CB" w:rsidRDefault="00CD25CB" w:rsidP="00CD25CB">
      <w:pPr>
        <w:pStyle w:val="ad"/>
        <w:spacing w:line="360" w:lineRule="auto"/>
        <w:ind w:left="-58" w:firstLine="778"/>
        <w:jc w:val="both"/>
        <w:rPr>
          <w:rFonts w:ascii="David" w:hAnsi="David" w:cs="David"/>
          <w:sz w:val="24"/>
          <w:szCs w:val="24"/>
          <w:rtl/>
        </w:rPr>
      </w:pPr>
    </w:p>
    <w:p w:rsidR="00CD25CB" w:rsidRDefault="00CD25CB" w:rsidP="00003F37">
      <w:pPr>
        <w:pStyle w:val="ad"/>
        <w:spacing w:line="360" w:lineRule="auto"/>
        <w:ind w:left="-58" w:firstLine="778"/>
        <w:jc w:val="both"/>
        <w:rPr>
          <w:rFonts w:ascii="David" w:hAnsi="David" w:cs="David"/>
          <w:sz w:val="24"/>
          <w:szCs w:val="24"/>
          <w:rtl/>
        </w:rPr>
      </w:pPr>
      <w:r>
        <w:rPr>
          <w:rFonts w:ascii="David" w:hAnsi="David" w:cs="David"/>
          <w:sz w:val="24"/>
          <w:szCs w:val="24"/>
          <w:rtl/>
        </w:rPr>
        <w:t xml:space="preserve">שלישית, עיון בתיק הבקשה לצו שיפוטי מלמד כי המאשימה לא חזרה בה מעתירתה לצו שיפוטי נגד הנאשם מתוך וויתור כלשהו, אלא מן הטעם ששוכנעה כי די בצו שניתן בהליך הראשון, שעודנו עומד בעינו גם כיום. לפיכך, אין </w:t>
      </w:r>
      <w:r w:rsidR="00003F37">
        <w:rPr>
          <w:rFonts w:ascii="David" w:hAnsi="David" w:cs="David" w:hint="cs"/>
          <w:sz w:val="24"/>
          <w:szCs w:val="24"/>
          <w:rtl/>
        </w:rPr>
        <w:t>ב</w:t>
      </w:r>
      <w:r>
        <w:rPr>
          <w:rFonts w:ascii="David" w:hAnsi="David" w:cs="David"/>
          <w:sz w:val="24"/>
          <w:szCs w:val="24"/>
          <w:rtl/>
        </w:rPr>
        <w:t>ביטול הליך ה</w:t>
      </w:r>
      <w:r w:rsidR="00003F37">
        <w:rPr>
          <w:rFonts w:ascii="David" w:hAnsi="David" w:cs="David" w:hint="cs"/>
          <w:sz w:val="24"/>
          <w:szCs w:val="24"/>
          <w:rtl/>
        </w:rPr>
        <w:t xml:space="preserve">בקשה כדי להצביע על </w:t>
      </w:r>
      <w:r>
        <w:rPr>
          <w:rFonts w:ascii="David" w:hAnsi="David" w:cs="David"/>
          <w:sz w:val="24"/>
          <w:szCs w:val="24"/>
          <w:rtl/>
        </w:rPr>
        <w:t>העדר עניין ציבורי בניהול ההליך הפלילי.</w:t>
      </w:r>
    </w:p>
    <w:p w:rsidR="00CD25CB" w:rsidRDefault="00CD25CB" w:rsidP="00CC5709">
      <w:pPr>
        <w:jc w:val="both"/>
        <w:rPr>
          <w:rFonts w:ascii="David" w:hAnsi="David"/>
          <w:rtl/>
        </w:rPr>
      </w:pPr>
    </w:p>
    <w:p w:rsidR="00CD25CB" w:rsidRDefault="00CD25CB" w:rsidP="00CD25CB">
      <w:pPr>
        <w:spacing w:line="360" w:lineRule="auto"/>
        <w:jc w:val="both"/>
        <w:rPr>
          <w:rFonts w:ascii="David" w:hAnsi="David"/>
          <w:b/>
          <w:bCs/>
          <w:u w:val="single"/>
          <w:rtl/>
        </w:rPr>
      </w:pPr>
      <w:r>
        <w:rPr>
          <w:rFonts w:ascii="David" w:hAnsi="David"/>
          <w:b/>
          <w:bCs/>
          <w:u w:val="single"/>
          <w:rtl/>
        </w:rPr>
        <w:t>סיכום</w:t>
      </w:r>
    </w:p>
    <w:p w:rsidR="00CD25CB" w:rsidRDefault="00CD25CB" w:rsidP="00CC5709">
      <w:pPr>
        <w:jc w:val="both"/>
        <w:rPr>
          <w:rFonts w:ascii="David" w:hAnsi="David"/>
          <w:b/>
          <w:bCs/>
          <w:u w:val="single"/>
          <w:rtl/>
        </w:rPr>
      </w:pPr>
    </w:p>
    <w:p w:rsidR="00CD25CB" w:rsidRDefault="00CD25CB" w:rsidP="001F2D6C">
      <w:pPr>
        <w:pStyle w:val="ad"/>
        <w:numPr>
          <w:ilvl w:val="0"/>
          <w:numId w:val="1"/>
        </w:numPr>
        <w:spacing w:line="360" w:lineRule="auto"/>
        <w:ind w:left="-58" w:firstLine="0"/>
        <w:jc w:val="both"/>
        <w:rPr>
          <w:rFonts w:ascii="David" w:hAnsi="David" w:cs="David"/>
          <w:sz w:val="24"/>
          <w:szCs w:val="24"/>
          <w:rtl/>
        </w:rPr>
      </w:pPr>
      <w:r>
        <w:rPr>
          <w:rFonts w:ascii="David" w:hAnsi="David" w:cs="David"/>
          <w:sz w:val="24"/>
          <w:szCs w:val="24"/>
          <w:rtl/>
        </w:rPr>
        <w:t>טענת הנאשם לאי תחולת הדין הישראלי בכפר רות בשל ה</w:t>
      </w:r>
      <w:r>
        <w:rPr>
          <w:rFonts w:ascii="David" w:hAnsi="David" w:cs="David" w:hint="cs"/>
          <w:sz w:val="24"/>
          <w:szCs w:val="24"/>
          <w:rtl/>
        </w:rPr>
        <w:t>י</w:t>
      </w:r>
      <w:r>
        <w:rPr>
          <w:rFonts w:ascii="David" w:hAnsi="David" w:cs="David"/>
          <w:sz w:val="24"/>
          <w:szCs w:val="24"/>
          <w:rtl/>
        </w:rPr>
        <w:t>מצא</w:t>
      </w:r>
      <w:r>
        <w:rPr>
          <w:rFonts w:ascii="David" w:hAnsi="David" w:cs="David" w:hint="cs"/>
          <w:sz w:val="24"/>
          <w:szCs w:val="24"/>
          <w:rtl/>
        </w:rPr>
        <w:t>ות</w:t>
      </w:r>
      <w:r>
        <w:rPr>
          <w:rFonts w:ascii="David" w:hAnsi="David" w:cs="David"/>
          <w:sz w:val="24"/>
          <w:szCs w:val="24"/>
          <w:rtl/>
        </w:rPr>
        <w:t>ו בשטח ההפקר, נדח</w:t>
      </w:r>
      <w:r w:rsidR="008C3821">
        <w:rPr>
          <w:rFonts w:ascii="David" w:hAnsi="David" w:cs="David" w:hint="cs"/>
          <w:sz w:val="24"/>
          <w:szCs w:val="24"/>
          <w:rtl/>
        </w:rPr>
        <w:t>תה</w:t>
      </w:r>
      <w:r>
        <w:rPr>
          <w:rFonts w:ascii="David" w:hAnsi="David" w:cs="David"/>
          <w:sz w:val="24"/>
          <w:szCs w:val="24"/>
          <w:rtl/>
        </w:rPr>
        <w:t xml:space="preserve"> מחמת העובדה שהדין הישראלי הוחל בשטח ההפקר על פי מבחן הריבונות האפקטיבית, ומעבר לצורך אף </w:t>
      </w:r>
      <w:r w:rsidR="001F2D6C">
        <w:rPr>
          <w:rFonts w:ascii="David" w:hAnsi="David" w:cs="David" w:hint="cs"/>
          <w:sz w:val="24"/>
          <w:szCs w:val="24"/>
          <w:rtl/>
        </w:rPr>
        <w:t>בוצעה החלה אקטיבית של הדין הישראלי במקום.</w:t>
      </w:r>
    </w:p>
    <w:p w:rsidR="00CD25CB" w:rsidRDefault="00CD25CB" w:rsidP="00CC5709">
      <w:pPr>
        <w:pStyle w:val="ad"/>
        <w:spacing w:line="240" w:lineRule="auto"/>
        <w:ind w:left="-58"/>
        <w:jc w:val="both"/>
        <w:rPr>
          <w:rFonts w:ascii="David" w:hAnsi="David" w:cs="David"/>
          <w:sz w:val="24"/>
          <w:szCs w:val="24"/>
        </w:rPr>
      </w:pPr>
    </w:p>
    <w:p w:rsidR="00CD25CB" w:rsidRDefault="008C3821" w:rsidP="001F2D6C">
      <w:pPr>
        <w:pStyle w:val="ad"/>
        <w:spacing w:line="360" w:lineRule="auto"/>
        <w:ind w:left="-58" w:firstLine="778"/>
        <w:jc w:val="both"/>
        <w:rPr>
          <w:rFonts w:ascii="David" w:hAnsi="David" w:cs="David"/>
          <w:sz w:val="24"/>
          <w:szCs w:val="24"/>
        </w:rPr>
      </w:pPr>
      <w:r>
        <w:rPr>
          <w:rFonts w:ascii="David" w:hAnsi="David" w:cs="David" w:hint="cs"/>
          <w:sz w:val="24"/>
          <w:szCs w:val="24"/>
          <w:rtl/>
        </w:rPr>
        <w:t xml:space="preserve">גם </w:t>
      </w:r>
      <w:r w:rsidR="00CD25CB">
        <w:rPr>
          <w:rFonts w:ascii="David" w:hAnsi="David" w:cs="David"/>
          <w:sz w:val="24"/>
          <w:szCs w:val="24"/>
          <w:rtl/>
        </w:rPr>
        <w:t>הטענה  לפגם בכתב האישום בשל אי נטילת הסמכות כדין מידי הועדה המקומית, נ</w:t>
      </w:r>
      <w:r>
        <w:rPr>
          <w:rFonts w:ascii="David" w:hAnsi="David" w:cs="David" w:hint="cs"/>
          <w:sz w:val="24"/>
          <w:szCs w:val="24"/>
          <w:rtl/>
        </w:rPr>
        <w:t xml:space="preserve">דחתה, וזאת </w:t>
      </w:r>
      <w:r w:rsidR="00CD25CB">
        <w:rPr>
          <w:rFonts w:ascii="David" w:hAnsi="David" w:cs="David"/>
          <w:sz w:val="24"/>
          <w:szCs w:val="24"/>
          <w:rtl/>
        </w:rPr>
        <w:t>מן הטעם שכלל לא נדרשה ולא בוצעה נטילת סמכות בענייננו. הנכון הוא כי המאשימה הגישה את כתב האישום על פי סמכותה המקבילה מכוח סעיף 254י"ג לחוק התו"ב.</w:t>
      </w:r>
    </w:p>
    <w:p w:rsidR="00CD25CB" w:rsidRDefault="00CD25CB" w:rsidP="00CD25CB">
      <w:pPr>
        <w:pStyle w:val="ad"/>
        <w:rPr>
          <w:rFonts w:ascii="David" w:hAnsi="David" w:cs="David"/>
          <w:sz w:val="24"/>
          <w:szCs w:val="24"/>
        </w:rPr>
      </w:pPr>
    </w:p>
    <w:p w:rsidR="00CD25CB" w:rsidRDefault="008C3821" w:rsidP="001F2D6C">
      <w:pPr>
        <w:pStyle w:val="ad"/>
        <w:spacing w:line="360" w:lineRule="auto"/>
        <w:ind w:left="-58" w:firstLine="778"/>
        <w:jc w:val="both"/>
        <w:rPr>
          <w:rFonts w:ascii="David" w:hAnsi="David" w:cs="David"/>
          <w:sz w:val="24"/>
          <w:szCs w:val="24"/>
          <w:rtl/>
        </w:rPr>
      </w:pPr>
      <w:r>
        <w:rPr>
          <w:rFonts w:ascii="David" w:hAnsi="David" w:cs="David" w:hint="cs"/>
          <w:sz w:val="24"/>
          <w:szCs w:val="24"/>
          <w:rtl/>
        </w:rPr>
        <w:t xml:space="preserve">אשר </w:t>
      </w:r>
      <w:r w:rsidR="00CD25CB">
        <w:rPr>
          <w:rFonts w:ascii="David" w:hAnsi="David" w:cs="David"/>
          <w:sz w:val="24"/>
          <w:szCs w:val="24"/>
          <w:rtl/>
        </w:rPr>
        <w:t xml:space="preserve">לפגם </w:t>
      </w:r>
      <w:r w:rsidR="001F2D6C">
        <w:rPr>
          <w:rFonts w:ascii="David" w:hAnsi="David" w:cs="David" w:hint="cs"/>
          <w:sz w:val="24"/>
          <w:szCs w:val="24"/>
          <w:rtl/>
        </w:rPr>
        <w:t xml:space="preserve">הנטען </w:t>
      </w:r>
      <w:r w:rsidR="00CD25CB">
        <w:rPr>
          <w:rFonts w:ascii="David" w:hAnsi="David" w:cs="David"/>
          <w:sz w:val="24"/>
          <w:szCs w:val="24"/>
          <w:rtl/>
        </w:rPr>
        <w:t>בשיקול דעת התביעה בהגשת כתב האישום</w:t>
      </w:r>
      <w:r>
        <w:rPr>
          <w:rFonts w:ascii="David" w:hAnsi="David" w:cs="David" w:hint="cs"/>
          <w:sz w:val="24"/>
          <w:szCs w:val="24"/>
          <w:rtl/>
        </w:rPr>
        <w:t xml:space="preserve">, </w:t>
      </w:r>
      <w:r w:rsidR="001F2D6C">
        <w:rPr>
          <w:rFonts w:ascii="David" w:hAnsi="David" w:cs="David" w:hint="cs"/>
          <w:sz w:val="24"/>
          <w:szCs w:val="24"/>
          <w:rtl/>
        </w:rPr>
        <w:t>קבעתי כי לא</w:t>
      </w:r>
      <w:r w:rsidR="00CD25CB">
        <w:rPr>
          <w:rFonts w:ascii="David" w:hAnsi="David" w:cs="David"/>
          <w:sz w:val="24"/>
          <w:szCs w:val="24"/>
          <w:rtl/>
        </w:rPr>
        <w:t xml:space="preserve"> מוכרת טענה מקדמית שכזו</w:t>
      </w:r>
      <w:r>
        <w:rPr>
          <w:rFonts w:ascii="David" w:hAnsi="David" w:cs="David" w:hint="cs"/>
          <w:sz w:val="24"/>
          <w:szCs w:val="24"/>
          <w:rtl/>
        </w:rPr>
        <w:t xml:space="preserve"> בגדרי סעיף 149 לחסד"פ</w:t>
      </w:r>
      <w:r w:rsidR="00CD25CB">
        <w:rPr>
          <w:rFonts w:ascii="David" w:hAnsi="David" w:cs="David"/>
          <w:sz w:val="24"/>
          <w:szCs w:val="24"/>
          <w:rtl/>
        </w:rPr>
        <w:t xml:space="preserve">, ואף נשללה סמכות בית המשפט לדון בטענה מקדמית התוקפת את שיקול הדעת של רשויות התביעה, על פי הלכת </w:t>
      </w:r>
      <w:r w:rsidR="00CD25CB" w:rsidRPr="008C3821">
        <w:rPr>
          <w:rFonts w:ascii="David" w:hAnsi="David" w:cs="David"/>
          <w:b/>
          <w:bCs/>
          <w:sz w:val="24"/>
          <w:szCs w:val="24"/>
          <w:rtl/>
        </w:rPr>
        <w:t>רותם</w:t>
      </w:r>
      <w:r w:rsidR="00CD25CB">
        <w:rPr>
          <w:rFonts w:ascii="David" w:hAnsi="David" w:cs="David"/>
          <w:sz w:val="24"/>
          <w:szCs w:val="24"/>
          <w:rtl/>
        </w:rPr>
        <w:t xml:space="preserve">. </w:t>
      </w:r>
      <w:r w:rsidR="001F2D6C">
        <w:rPr>
          <w:rFonts w:ascii="David" w:hAnsi="David" w:cs="David" w:hint="cs"/>
          <w:sz w:val="24"/>
          <w:szCs w:val="24"/>
          <w:rtl/>
        </w:rPr>
        <w:t>בנוסף</w:t>
      </w:r>
      <w:r w:rsidR="00CD25CB">
        <w:rPr>
          <w:rFonts w:ascii="David" w:hAnsi="David" w:cs="David"/>
          <w:sz w:val="24"/>
          <w:szCs w:val="24"/>
          <w:rtl/>
        </w:rPr>
        <w:t>, לא הוכח כי נפל פגם כלשהו בשיקול הדעת</w:t>
      </w:r>
      <w:r w:rsidR="001F2D6C">
        <w:rPr>
          <w:rFonts w:ascii="David" w:hAnsi="David" w:cs="David" w:hint="cs"/>
          <w:sz w:val="24"/>
          <w:szCs w:val="24"/>
          <w:rtl/>
        </w:rPr>
        <w:t>, לגופו של עניין</w:t>
      </w:r>
      <w:r w:rsidR="00CD25CB">
        <w:rPr>
          <w:rFonts w:ascii="David" w:hAnsi="David" w:cs="David"/>
          <w:sz w:val="24"/>
          <w:szCs w:val="24"/>
          <w:rtl/>
        </w:rPr>
        <w:t>.</w:t>
      </w:r>
    </w:p>
    <w:p w:rsidR="00CD25CB" w:rsidRDefault="00CD25CB" w:rsidP="00CD25CB">
      <w:pPr>
        <w:pStyle w:val="ad"/>
        <w:rPr>
          <w:rFonts w:ascii="David" w:hAnsi="David" w:cs="David"/>
          <w:sz w:val="24"/>
          <w:szCs w:val="24"/>
        </w:rPr>
      </w:pPr>
    </w:p>
    <w:p w:rsidR="00CD25CB" w:rsidRDefault="00CD25CB" w:rsidP="008C3821">
      <w:pPr>
        <w:pStyle w:val="ad"/>
        <w:numPr>
          <w:ilvl w:val="0"/>
          <w:numId w:val="1"/>
        </w:numPr>
        <w:spacing w:line="360" w:lineRule="auto"/>
        <w:ind w:left="-58" w:firstLine="0"/>
        <w:jc w:val="both"/>
        <w:rPr>
          <w:rFonts w:ascii="David" w:hAnsi="David" w:cs="David"/>
          <w:sz w:val="24"/>
          <w:szCs w:val="24"/>
          <w:rtl/>
        </w:rPr>
      </w:pPr>
      <w:r>
        <w:rPr>
          <w:rFonts w:ascii="David" w:hAnsi="David" w:cs="David"/>
          <w:sz w:val="24"/>
          <w:szCs w:val="24"/>
          <w:rtl/>
        </w:rPr>
        <w:t xml:space="preserve">נוכח </w:t>
      </w:r>
      <w:r w:rsidR="008C3821">
        <w:rPr>
          <w:rFonts w:ascii="David" w:hAnsi="David" w:cs="David" w:hint="cs"/>
          <w:sz w:val="24"/>
          <w:szCs w:val="24"/>
          <w:rtl/>
        </w:rPr>
        <w:t>מסקנותיי אלה</w:t>
      </w:r>
      <w:r>
        <w:rPr>
          <w:rFonts w:ascii="David" w:hAnsi="David" w:cs="David"/>
          <w:sz w:val="24"/>
          <w:szCs w:val="24"/>
          <w:rtl/>
        </w:rPr>
        <w:t>, אני דוחה את הטענות המקדמיות.</w:t>
      </w:r>
    </w:p>
    <w:p w:rsidR="00CD25CB" w:rsidRDefault="00CD25CB" w:rsidP="00CD25CB">
      <w:pPr>
        <w:pStyle w:val="ad"/>
        <w:rPr>
          <w:rFonts w:ascii="David" w:hAnsi="David" w:cs="David"/>
          <w:sz w:val="24"/>
          <w:szCs w:val="24"/>
        </w:rPr>
      </w:pPr>
    </w:p>
    <w:p w:rsidR="00CD25CB" w:rsidRDefault="008C3821" w:rsidP="00F87282">
      <w:pPr>
        <w:pStyle w:val="ad"/>
        <w:numPr>
          <w:ilvl w:val="0"/>
          <w:numId w:val="1"/>
        </w:numPr>
        <w:spacing w:line="360" w:lineRule="auto"/>
        <w:ind w:left="-58" w:firstLine="0"/>
        <w:jc w:val="both"/>
        <w:rPr>
          <w:rFonts w:ascii="David" w:hAnsi="David" w:cs="David"/>
          <w:sz w:val="24"/>
          <w:szCs w:val="24"/>
        </w:rPr>
      </w:pPr>
      <w:r>
        <w:rPr>
          <w:rFonts w:ascii="David" w:hAnsi="David" w:cs="David" w:hint="cs"/>
          <w:sz w:val="24"/>
          <w:szCs w:val="24"/>
          <w:rtl/>
        </w:rPr>
        <w:t xml:space="preserve">אציין כי הנאשם העלה גם </w:t>
      </w:r>
      <w:r w:rsidR="00CD25CB" w:rsidRPr="00CD25CB">
        <w:rPr>
          <w:rFonts w:ascii="David" w:hAnsi="David" w:cs="David"/>
          <w:sz w:val="24"/>
          <w:szCs w:val="24"/>
          <w:rtl/>
        </w:rPr>
        <w:t xml:space="preserve">טענה לאכיפה בררנית, </w:t>
      </w:r>
      <w:r>
        <w:rPr>
          <w:rFonts w:ascii="David" w:hAnsi="David" w:cs="David" w:hint="cs"/>
          <w:sz w:val="24"/>
          <w:szCs w:val="24"/>
          <w:rtl/>
        </w:rPr>
        <w:t xml:space="preserve">אך </w:t>
      </w:r>
      <w:r w:rsidR="00CD25CB" w:rsidRPr="00CD25CB">
        <w:rPr>
          <w:rFonts w:ascii="David" w:hAnsi="David" w:cs="David"/>
          <w:sz w:val="24"/>
          <w:szCs w:val="24"/>
          <w:rtl/>
        </w:rPr>
        <w:t xml:space="preserve">לאחר תום הדיון שהתקיים במעמד הצדדים, עתר שלא להכריע בה בשלב זה, שכן ברצונו להביא ראיות להעדר האכיפה במקרים הדומים אליהם הפנה, לפיכך </w:t>
      </w:r>
      <w:r w:rsidR="00F87282">
        <w:rPr>
          <w:rFonts w:ascii="David" w:hAnsi="David" w:cs="David" w:hint="cs"/>
          <w:sz w:val="24"/>
          <w:szCs w:val="24"/>
          <w:rtl/>
        </w:rPr>
        <w:t>עניין זה טרם נדון</w:t>
      </w:r>
      <w:r w:rsidR="00CD25CB" w:rsidRPr="00CD25CB">
        <w:rPr>
          <w:rFonts w:ascii="David" w:hAnsi="David" w:cs="David"/>
          <w:sz w:val="24"/>
          <w:szCs w:val="24"/>
          <w:rtl/>
        </w:rPr>
        <w:t>.</w:t>
      </w:r>
    </w:p>
    <w:p w:rsidR="008C3821" w:rsidRPr="008C3821" w:rsidRDefault="008C3821" w:rsidP="008C3821">
      <w:pPr>
        <w:pStyle w:val="ad"/>
        <w:rPr>
          <w:rFonts w:ascii="David" w:hAnsi="David" w:cs="David"/>
          <w:sz w:val="24"/>
          <w:szCs w:val="24"/>
          <w:rtl/>
        </w:rPr>
      </w:pPr>
    </w:p>
    <w:p w:rsidR="008C3821" w:rsidRDefault="008C3821" w:rsidP="008C3821">
      <w:pPr>
        <w:spacing w:line="360" w:lineRule="auto"/>
        <w:jc w:val="both"/>
        <w:rPr>
          <w:rFonts w:ascii="David" w:hAnsi="David"/>
          <w:rtl/>
        </w:rPr>
      </w:pPr>
      <w:r>
        <w:rPr>
          <w:rFonts w:ascii="David" w:hAnsi="David" w:hint="cs"/>
          <w:rtl/>
        </w:rPr>
        <w:t>המזכירות תשלח את ההחלטה לב"כ הצדדים.</w:t>
      </w:r>
    </w:p>
    <w:p w:rsidR="0091065E" w:rsidRDefault="0091065E" w:rsidP="008C3821">
      <w:pPr>
        <w:spacing w:line="360" w:lineRule="auto"/>
        <w:jc w:val="both"/>
        <w:rPr>
          <w:rFonts w:ascii="David" w:hAnsi="David"/>
          <w:rtl/>
        </w:rPr>
      </w:pPr>
    </w:p>
    <w:p w:rsidR="00C43648" w:rsidRDefault="008C3821" w:rsidP="0091065E">
      <w:pPr>
        <w:spacing w:line="360" w:lineRule="auto"/>
        <w:jc w:val="both"/>
        <w:rPr>
          <w:rtl/>
        </w:rPr>
      </w:pPr>
      <w:r>
        <w:rPr>
          <w:rFonts w:ascii="Arial" w:hAnsi="Arial" w:hint="cs"/>
          <w:noProof w:val="0"/>
          <w:rtl/>
        </w:rPr>
        <w:t>נ</w:t>
      </w:r>
      <w:r w:rsidR="0043502B">
        <w:rPr>
          <w:rFonts w:ascii="Arial" w:hAnsi="Arial"/>
          <w:noProof w:val="0"/>
          <w:rtl/>
        </w:rPr>
        <w:t>ית</w:t>
      </w:r>
      <w:r w:rsidR="0043502B">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כ'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28 מאי 2024</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18383470"/>
        </w:sdtPr>
        <w:sdtEndPr/>
        <w:sdtContent>
          <w:r w:rsidR="00B441F9">
            <w:drawing>
              <wp:inline distT="0" distB="0" distL="0" distR="0" wp14:editId="50D07946">
                <wp:extent cx="1092708" cy="4892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7" cstate="print">
                          <a:extLst/>
                        </a:blip>
                        <a:stretch>
                          <a:fillRect/>
                        </a:stretch>
                      </pic:blipFill>
                      <pic:spPr>
                        <a:xfrm>
                          <a:off x="0" y="0"/>
                          <a:ext cx="1092708" cy="489204"/>
                        </a:xfrm>
                        <a:prstGeom prst="rect">
                          <a:avLst/>
                        </a:prstGeom>
                      </pic:spPr>
                    </pic:pic>
                  </a:graphicData>
                </a:graphic>
              </wp:inline>
            </w:drawing>
          </w:r>
        </w:sdtContent>
      </w:sdt>
    </w:p>
    <w:p w:rsidR="0091065E" w:rsidRDefault="0091065E" w:rsidP="0091065E">
      <w:pPr>
        <w:spacing w:line="360" w:lineRule="auto"/>
        <w:ind w:left="360"/>
        <w:jc w:val="both"/>
        <w:rPr>
          <w:rFonts w:ascii="David" w:hAnsi="David"/>
          <w:rtl/>
        </w:rPr>
      </w:pPr>
    </w:p>
    <w:p w:rsidR="0091065E" w:rsidRPr="0091065E" w:rsidRDefault="0091065E" w:rsidP="0091065E">
      <w:pPr>
        <w:spacing w:line="360" w:lineRule="auto"/>
        <w:ind w:left="360"/>
        <w:jc w:val="both"/>
        <w:rPr>
          <w:rFonts w:ascii="David" w:hAnsi="David"/>
          <w:rtl/>
        </w:rPr>
      </w:pPr>
      <w:r>
        <w:rPr>
          <w:rFonts w:ascii="David" w:hAnsi="David" w:hint="cs"/>
          <w:rtl/>
        </w:rPr>
        <w:t>*</w:t>
      </w:r>
      <w:r w:rsidRPr="0091065E">
        <w:rPr>
          <w:rFonts w:ascii="David" w:hAnsi="David"/>
          <w:rtl/>
        </w:rPr>
        <w:t>לאחר החתימה נערכו תיקוני טעויות קולמוס.</w:t>
      </w:r>
    </w:p>
    <w:p w:rsidR="0091065E" w:rsidRDefault="0091065E" w:rsidP="0091065E">
      <w:pPr>
        <w:spacing w:line="360" w:lineRule="auto"/>
        <w:jc w:val="both"/>
        <w:rPr>
          <w:rFonts w:ascii="David" w:hAnsi="David"/>
          <w:rtl/>
        </w:rPr>
      </w:pPr>
    </w:p>
    <w:p w:rsidR="00694556" w:rsidRDefault="00694556" w:rsidP="00BD6531">
      <w:pPr>
        <w:tabs>
          <w:tab w:val="left" w:pos="2553"/>
        </w:tabs>
        <w:rPr>
          <w:rFonts w:ascii="Arial" w:hAnsi="Arial"/>
          <w:noProof w:val="0"/>
          <w:rtl/>
        </w:rPr>
      </w:pPr>
    </w:p>
    <w:sectPr w:rsidR="00694556" w:rsidSect="00891F42">
      <w:headerReference w:type="even" r:id="rId28"/>
      <w:headerReference w:type="default" r:id="rId29"/>
      <w:footerReference w:type="even" r:id="rId30"/>
      <w:footerReference w:type="default" r:id="rId31"/>
      <w:headerReference w:type="first" r:id="rId32"/>
      <w:footerReference w:type="first" r:id="rId3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EE1" w:rsidRDefault="00243EE1">
      <w:r>
        <w:separator/>
      </w:r>
    </w:p>
  </w:endnote>
  <w:endnote w:type="continuationSeparator" w:id="0">
    <w:p w:rsidR="00243EE1" w:rsidRDefault="00243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D7D" w:rsidRDefault="00D23D7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F357C6">
      <w:rPr>
        <w:rStyle w:val="ab"/>
        <w:rFonts w:ascii="David" w:hAnsi="David"/>
        <w:rtl/>
      </w:rPr>
      <w:t>12</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F357C6">
      <w:rPr>
        <w:rStyle w:val="ab"/>
        <w:rFonts w:ascii="David" w:hAnsi="David"/>
        <w:rtl/>
      </w:rPr>
      <w:t>12</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D7D" w:rsidRDefault="00D23D7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EE1" w:rsidRDefault="00243EE1">
      <w:r>
        <w:separator/>
      </w:r>
    </w:p>
  </w:footnote>
  <w:footnote w:type="continuationSeparator" w:id="0">
    <w:p w:rsidR="00243EE1" w:rsidRDefault="00243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D7D" w:rsidRDefault="00D23D7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ברמלה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43EE1"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ת"פ</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58536-01-23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מדינת ישראל נ' יצחק</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D7D" w:rsidRDefault="00D23D7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57941"/>
    <w:multiLevelType w:val="hybridMultilevel"/>
    <w:tmpl w:val="DA768960"/>
    <w:lvl w:ilvl="0" w:tplc="619AD090">
      <w:start w:val="1"/>
      <w:numFmt w:val="hebrew1"/>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 w15:restartNumberingAfterBreak="0">
    <w:nsid w:val="068A08ED"/>
    <w:multiLevelType w:val="hybridMultilevel"/>
    <w:tmpl w:val="3E3CEEBA"/>
    <w:lvl w:ilvl="0" w:tplc="04090013">
      <w:start w:val="1"/>
      <w:numFmt w:val="hebrew1"/>
      <w:lvlText w:val="%1."/>
      <w:lvlJc w:val="center"/>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2" w15:restartNumberingAfterBreak="0">
    <w:nsid w:val="635D3160"/>
    <w:multiLevelType w:val="hybridMultilevel"/>
    <w:tmpl w:val="95B4B61E"/>
    <w:lvl w:ilvl="0" w:tplc="0CA6B13A">
      <w:start w:val="1"/>
      <w:numFmt w:val="decimal"/>
      <w:lvlText w:val="%1."/>
      <w:lvlJc w:val="left"/>
      <w:pPr>
        <w:ind w:left="502" w:hanging="360"/>
      </w:pPr>
      <w:rPr>
        <w:rFonts w:ascii="David" w:hAnsi="David" w:cs="David" w:hint="default"/>
      </w:rPr>
    </w:lvl>
    <w:lvl w:ilvl="1" w:tplc="04090019">
      <w:start w:val="1"/>
      <w:numFmt w:val="lowerLetter"/>
      <w:lvlText w:val="%2."/>
      <w:lvlJc w:val="left"/>
      <w:pPr>
        <w:ind w:left="1172" w:hanging="360"/>
      </w:pPr>
    </w:lvl>
    <w:lvl w:ilvl="2" w:tplc="0409001B">
      <w:start w:val="1"/>
      <w:numFmt w:val="lowerRoman"/>
      <w:lvlText w:val="%3."/>
      <w:lvlJc w:val="right"/>
      <w:pPr>
        <w:ind w:left="1892" w:hanging="180"/>
      </w:pPr>
    </w:lvl>
    <w:lvl w:ilvl="3" w:tplc="0409000F">
      <w:start w:val="1"/>
      <w:numFmt w:val="decimal"/>
      <w:lvlText w:val="%4."/>
      <w:lvlJc w:val="left"/>
      <w:pPr>
        <w:ind w:left="2612" w:hanging="360"/>
      </w:pPr>
    </w:lvl>
    <w:lvl w:ilvl="4" w:tplc="04090019">
      <w:start w:val="1"/>
      <w:numFmt w:val="lowerLetter"/>
      <w:lvlText w:val="%5."/>
      <w:lvlJc w:val="left"/>
      <w:pPr>
        <w:ind w:left="3332" w:hanging="360"/>
      </w:pPr>
    </w:lvl>
    <w:lvl w:ilvl="5" w:tplc="0409001B">
      <w:start w:val="1"/>
      <w:numFmt w:val="lowerRoman"/>
      <w:lvlText w:val="%6."/>
      <w:lvlJc w:val="right"/>
      <w:pPr>
        <w:ind w:left="4052" w:hanging="180"/>
      </w:pPr>
    </w:lvl>
    <w:lvl w:ilvl="6" w:tplc="0409000F">
      <w:start w:val="1"/>
      <w:numFmt w:val="decimal"/>
      <w:lvlText w:val="%7."/>
      <w:lvlJc w:val="left"/>
      <w:pPr>
        <w:ind w:left="4772" w:hanging="360"/>
      </w:pPr>
    </w:lvl>
    <w:lvl w:ilvl="7" w:tplc="04090019">
      <w:start w:val="1"/>
      <w:numFmt w:val="lowerLetter"/>
      <w:lvlText w:val="%8."/>
      <w:lvlJc w:val="left"/>
      <w:pPr>
        <w:ind w:left="5492" w:hanging="360"/>
      </w:pPr>
    </w:lvl>
    <w:lvl w:ilvl="8" w:tplc="0409001B">
      <w:start w:val="1"/>
      <w:numFmt w:val="lowerRoman"/>
      <w:lvlText w:val="%9."/>
      <w:lvlJc w:val="right"/>
      <w:pPr>
        <w:ind w:left="6212" w:hanging="180"/>
      </w:pPr>
    </w:lvl>
  </w:abstractNum>
  <w:abstractNum w:abstractNumId="3" w15:restartNumberingAfterBreak="0">
    <w:nsid w:val="73C76AB5"/>
    <w:multiLevelType w:val="hybridMultilevel"/>
    <w:tmpl w:val="FD0EC190"/>
    <w:lvl w:ilvl="0" w:tplc="6D40C5E2">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43803"/>
    <w:docVar w:name="CourtID" w:val="3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943803&amp;lt;/CaseID&amp;gt;_x000d__x000a_        &amp;lt;DocumentID&amp;gt;444437847&amp;lt;/DocumentID&amp;gt;_x000d__x000a_      &amp;lt;/dt_DocumentCase&amp;gt;_x000d__x000a_      &amp;lt;dt_Document diffgr:id=&amp;quot;dt_Document1&amp;quot; msdata:rowOrder=&amp;quot;0&amp;quot;&amp;gt;_x000d__x000a_        &amp;lt;DocumentID&amp;gt;444437847&amp;lt;/DocumentID&amp;gt;_x000d__x000a_        &amp;lt;DocumentMainID&amp;gt;0&amp;lt;/DocumentMainID&amp;gt;_x000d__x000a_        &amp;lt;CaseID&amp;gt;79943803&amp;lt;/CaseID&amp;gt;_x000d__x000a_        &amp;lt;DocumentIncludedDate&amp;gt;2024-05-29T15:18:15.793+03:00&amp;lt;/DocumentIncludedDate&amp;gt;_x000d__x000a_        &amp;lt;DocumentDesc&amp;gt;החלטה  שניתנה ע&amp;quot;י  רבקה גלט&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05-29T15:18:15.793+03:00&amp;lt;/DocumentSavingDate&amp;gt;_x000d__x000a_        &amp;lt;DocumentChangeDate&amp;gt;2024-05-29T15:18:15.887+03:00&amp;lt;/DocumentChangeDate&amp;gt;_x000d__x000a_        &amp;lt;IsScanned&amp;gt;false&amp;lt;/IsScanned&amp;gt;_x000d__x000a_        &amp;lt;PageQuantity&amp;gt;0&amp;lt;/PageQuantity&amp;gt;_x000d__x000a_        &amp;lt;DocumentStatusID&amp;gt;2&amp;lt;/DocumentStatusID&amp;gt;_x000d__x000a_        &amp;lt;DocumentStatusChangeDate&amp;gt;2024-05-29T15:18:15.887+03:00&amp;lt;/DocumentStatusChangeDate&amp;gt;_x000d__x000a_        &amp;lt;TemplateVersionID&amp;gt;1&amp;lt;/TemplateVersionID&amp;gt;_x000d__x000a_        &amp;lt;DocumentChangeUserID&amp;gt;022834014@GOV.IL&amp;lt;/DocumentChangeUserID&amp;gt;_x000d__x000a_        &amp;lt;DocumentCreationUserID&amp;gt;022834014@GOV.IL&amp;lt;/DocumentCreationUserID&amp;gt;_x000d__x000a_        &amp;lt;OriginalDocumentID&amp;gt;444214367&amp;lt;/OriginalDocumentID&amp;gt;_x000d__x000a_        &amp;lt;PrivillegeID&amp;gt;1&amp;lt;/PrivillegeID&amp;gt;_x000d__x000a_        &amp;lt;FromPage&amp;gt;0&amp;lt;/FromPage&amp;gt;_x000d__x000a_        &amp;lt;ToPage&amp;gt;0&amp;lt;/ToPage&amp;gt;_x000d__x000a_        &amp;lt;FileID&amp;gt;4d6649c48f010000090037f6aa335b6f&amp;lt;/FileID&amp;gt;_x000d__x000a_        &amp;lt;URL&amp;gt;\\CTLNFSV02\doc_repository\183\16\6cf217cf56774591b38d5f19a29abccf_copy.docx&amp;lt;/URL&amp;gt;_x000d__x000a_        &amp;lt;OlivePriority&amp;gt;1&amp;lt;/OlivePriority&amp;gt;_x000d__x000a_        &amp;lt;MetaDataTypeID&amp;gt;1&amp;lt;/MetaDataTypeID&amp;gt;_x000d__x000a_        &amp;lt;MetaDataChangeDate&amp;gt;2024-05-29T15:18:15.88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רבקה גלט&amp;amp;lt;/anyType&amp;amp;gt;_x000d__x000a_    &amp;amp;lt;anyType xsi:type=&amp;quot;xsd:dateTime&amp;quot;&amp;amp;gt;2024-05-28T16:33:59.508798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5-28T16:33:59.51+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3F37"/>
    <w:rsid w:val="00005C8B"/>
    <w:rsid w:val="00007DE0"/>
    <w:rsid w:val="00025962"/>
    <w:rsid w:val="000346CC"/>
    <w:rsid w:val="000529D2"/>
    <w:rsid w:val="000564AB"/>
    <w:rsid w:val="00064FBD"/>
    <w:rsid w:val="00081C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28A1"/>
    <w:rsid w:val="00144D2A"/>
    <w:rsid w:val="00146062"/>
    <w:rsid w:val="0014653E"/>
    <w:rsid w:val="001615DE"/>
    <w:rsid w:val="00180519"/>
    <w:rsid w:val="00190811"/>
    <w:rsid w:val="00191C82"/>
    <w:rsid w:val="001B2878"/>
    <w:rsid w:val="001C4003"/>
    <w:rsid w:val="001D4DBF"/>
    <w:rsid w:val="001E75CA"/>
    <w:rsid w:val="001F2D6C"/>
    <w:rsid w:val="002265FF"/>
    <w:rsid w:val="00235B97"/>
    <w:rsid w:val="00243EE1"/>
    <w:rsid w:val="00262D6C"/>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1E56"/>
    <w:rsid w:val="003823E0"/>
    <w:rsid w:val="003A4521"/>
    <w:rsid w:val="003B3E8D"/>
    <w:rsid w:val="003D1C8C"/>
    <w:rsid w:val="003F3694"/>
    <w:rsid w:val="0040096C"/>
    <w:rsid w:val="00414F1F"/>
    <w:rsid w:val="0043125D"/>
    <w:rsid w:val="0043502B"/>
    <w:rsid w:val="004443AC"/>
    <w:rsid w:val="00444B02"/>
    <w:rsid w:val="00451E28"/>
    <w:rsid w:val="004549C7"/>
    <w:rsid w:val="00462C62"/>
    <w:rsid w:val="00465D36"/>
    <w:rsid w:val="004B0161"/>
    <w:rsid w:val="004C17EE"/>
    <w:rsid w:val="004C4BDF"/>
    <w:rsid w:val="004D1187"/>
    <w:rsid w:val="004D3AA0"/>
    <w:rsid w:val="004E1987"/>
    <w:rsid w:val="004E2E15"/>
    <w:rsid w:val="004E6E3C"/>
    <w:rsid w:val="00511B90"/>
    <w:rsid w:val="00512C34"/>
    <w:rsid w:val="00520898"/>
    <w:rsid w:val="00523621"/>
    <w:rsid w:val="00524986"/>
    <w:rsid w:val="005268F6"/>
    <w:rsid w:val="00534284"/>
    <w:rsid w:val="00547DB7"/>
    <w:rsid w:val="00560D5D"/>
    <w:rsid w:val="005C0627"/>
    <w:rsid w:val="005F4F09"/>
    <w:rsid w:val="005F7BB4"/>
    <w:rsid w:val="0061431B"/>
    <w:rsid w:val="00614E15"/>
    <w:rsid w:val="00622BAA"/>
    <w:rsid w:val="006306CF"/>
    <w:rsid w:val="006318D8"/>
    <w:rsid w:val="00644E9A"/>
    <w:rsid w:val="00657065"/>
    <w:rsid w:val="006629D5"/>
    <w:rsid w:val="00671BD5"/>
    <w:rsid w:val="006805C1"/>
    <w:rsid w:val="00683F48"/>
    <w:rsid w:val="00686C21"/>
    <w:rsid w:val="00687FA2"/>
    <w:rsid w:val="006931C1"/>
    <w:rsid w:val="00694556"/>
    <w:rsid w:val="006B7258"/>
    <w:rsid w:val="006C30C5"/>
    <w:rsid w:val="006D3B31"/>
    <w:rsid w:val="006E0D96"/>
    <w:rsid w:val="006E1195"/>
    <w:rsid w:val="006E1A53"/>
    <w:rsid w:val="006F4B5F"/>
    <w:rsid w:val="006F56E6"/>
    <w:rsid w:val="00704EDA"/>
    <w:rsid w:val="007063BD"/>
    <w:rsid w:val="00721122"/>
    <w:rsid w:val="00734689"/>
    <w:rsid w:val="00753019"/>
    <w:rsid w:val="00754801"/>
    <w:rsid w:val="00761441"/>
    <w:rsid w:val="00795365"/>
    <w:rsid w:val="007A0976"/>
    <w:rsid w:val="007A351D"/>
    <w:rsid w:val="007B7765"/>
    <w:rsid w:val="007C5BDD"/>
    <w:rsid w:val="007D12C6"/>
    <w:rsid w:val="007D31D2"/>
    <w:rsid w:val="007D45E3"/>
    <w:rsid w:val="007E6115"/>
    <w:rsid w:val="007F4609"/>
    <w:rsid w:val="007F718D"/>
    <w:rsid w:val="00814468"/>
    <w:rsid w:val="008176A1"/>
    <w:rsid w:val="00820005"/>
    <w:rsid w:val="008352DF"/>
    <w:rsid w:val="00840AF8"/>
    <w:rsid w:val="00840DBC"/>
    <w:rsid w:val="00841158"/>
    <w:rsid w:val="00844318"/>
    <w:rsid w:val="00851257"/>
    <w:rsid w:val="00863F5D"/>
    <w:rsid w:val="00870890"/>
    <w:rsid w:val="00873602"/>
    <w:rsid w:val="00875D12"/>
    <w:rsid w:val="0088479D"/>
    <w:rsid w:val="00891ACB"/>
    <w:rsid w:val="00891F42"/>
    <w:rsid w:val="008928F9"/>
    <w:rsid w:val="00896889"/>
    <w:rsid w:val="008A59EE"/>
    <w:rsid w:val="008A6E97"/>
    <w:rsid w:val="008C3821"/>
    <w:rsid w:val="008C5714"/>
    <w:rsid w:val="008D10B2"/>
    <w:rsid w:val="008D5B69"/>
    <w:rsid w:val="00903896"/>
    <w:rsid w:val="00906F3D"/>
    <w:rsid w:val="0091065E"/>
    <w:rsid w:val="0094424E"/>
    <w:rsid w:val="00954D5F"/>
    <w:rsid w:val="00955642"/>
    <w:rsid w:val="009566BE"/>
    <w:rsid w:val="009622DF"/>
    <w:rsid w:val="0096493F"/>
    <w:rsid w:val="00967DFF"/>
    <w:rsid w:val="009777CA"/>
    <w:rsid w:val="00994341"/>
    <w:rsid w:val="009C1DF3"/>
    <w:rsid w:val="009D1A48"/>
    <w:rsid w:val="009E1CE7"/>
    <w:rsid w:val="009E4EA5"/>
    <w:rsid w:val="009F164B"/>
    <w:rsid w:val="009F323C"/>
    <w:rsid w:val="00A3392B"/>
    <w:rsid w:val="00A4689C"/>
    <w:rsid w:val="00A81988"/>
    <w:rsid w:val="00A85E34"/>
    <w:rsid w:val="00A87DF6"/>
    <w:rsid w:val="00A9144F"/>
    <w:rsid w:val="00A94B64"/>
    <w:rsid w:val="00AA3229"/>
    <w:rsid w:val="00AA7596"/>
    <w:rsid w:val="00AB5E52"/>
    <w:rsid w:val="00AC3B02"/>
    <w:rsid w:val="00AC3B7B"/>
    <w:rsid w:val="00AC5209"/>
    <w:rsid w:val="00AC5857"/>
    <w:rsid w:val="00AE0533"/>
    <w:rsid w:val="00AE0E34"/>
    <w:rsid w:val="00AE729E"/>
    <w:rsid w:val="00AE7752"/>
    <w:rsid w:val="00AE7FAA"/>
    <w:rsid w:val="00AF7FDA"/>
    <w:rsid w:val="00B441F9"/>
    <w:rsid w:val="00B47A59"/>
    <w:rsid w:val="00B5356E"/>
    <w:rsid w:val="00B62AD7"/>
    <w:rsid w:val="00B66717"/>
    <w:rsid w:val="00B809AD"/>
    <w:rsid w:val="00B80CBD"/>
    <w:rsid w:val="00B86096"/>
    <w:rsid w:val="00B95D6E"/>
    <w:rsid w:val="00B964D9"/>
    <w:rsid w:val="00BA0A7C"/>
    <w:rsid w:val="00BA517C"/>
    <w:rsid w:val="00BA6484"/>
    <w:rsid w:val="00BB0EE7"/>
    <w:rsid w:val="00BB3D05"/>
    <w:rsid w:val="00BB73BE"/>
    <w:rsid w:val="00BC2D89"/>
    <w:rsid w:val="00BD6531"/>
    <w:rsid w:val="00BE05B2"/>
    <w:rsid w:val="00BF1908"/>
    <w:rsid w:val="00C22D93"/>
    <w:rsid w:val="00C23458"/>
    <w:rsid w:val="00C31120"/>
    <w:rsid w:val="00C34482"/>
    <w:rsid w:val="00C43648"/>
    <w:rsid w:val="00C50A9F"/>
    <w:rsid w:val="00C642FA"/>
    <w:rsid w:val="00CC5709"/>
    <w:rsid w:val="00CC7622"/>
    <w:rsid w:val="00CD25CB"/>
    <w:rsid w:val="00CD516B"/>
    <w:rsid w:val="00CD608F"/>
    <w:rsid w:val="00CE0084"/>
    <w:rsid w:val="00CF6BB7"/>
    <w:rsid w:val="00D04AA4"/>
    <w:rsid w:val="00D23D7D"/>
    <w:rsid w:val="00D27982"/>
    <w:rsid w:val="00D33B86"/>
    <w:rsid w:val="00D44968"/>
    <w:rsid w:val="00D53924"/>
    <w:rsid w:val="00D55D0C"/>
    <w:rsid w:val="00D75FD4"/>
    <w:rsid w:val="00D81AF8"/>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1CCC"/>
    <w:rsid w:val="00E9269D"/>
    <w:rsid w:val="00E962E3"/>
    <w:rsid w:val="00EB6C79"/>
    <w:rsid w:val="00EC37E9"/>
    <w:rsid w:val="00ED11B7"/>
    <w:rsid w:val="00EF3C79"/>
    <w:rsid w:val="00F038D8"/>
    <w:rsid w:val="00F06995"/>
    <w:rsid w:val="00F12D66"/>
    <w:rsid w:val="00F13623"/>
    <w:rsid w:val="00F169BD"/>
    <w:rsid w:val="00F357C6"/>
    <w:rsid w:val="00F44D1D"/>
    <w:rsid w:val="00F84B6D"/>
    <w:rsid w:val="00F87282"/>
    <w:rsid w:val="00F957E8"/>
    <w:rsid w:val="00FA311A"/>
    <w:rsid w:val="00FA5FDA"/>
    <w:rsid w:val="00FA7FD0"/>
    <w:rsid w:val="00FB6AB3"/>
    <w:rsid w:val="00FC7A7B"/>
    <w:rsid w:val="00FD1419"/>
    <w:rsid w:val="00FD79E4"/>
    <w:rsid w:val="00FE09EC"/>
    <w:rsid w:val="00FE2894"/>
    <w:rsid w:val="00FF1F05"/>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semiHidden/>
    <w:unhideWhenUsed/>
    <w:rsid w:val="00CD25CB"/>
    <w:rPr>
      <w:rFonts w:ascii="Times New Roman" w:hAnsi="Times New Roman" w:cs="Times New Roman" w:hint="default"/>
      <w:color w:val="0000FF"/>
      <w:u w:val="single"/>
    </w:rPr>
  </w:style>
  <w:style w:type="paragraph" w:styleId="ad">
    <w:name w:val="List Paragraph"/>
    <w:basedOn w:val="a"/>
    <w:uiPriority w:val="34"/>
    <w:qFormat/>
    <w:rsid w:val="00CD25CB"/>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8429971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5736577" TargetMode="External"/><Relationship Id="rId18" Type="http://schemas.openxmlformats.org/officeDocument/2006/relationships/hyperlink" Target="http://www.nevo.co.il/law/4882" TargetMode="External"/><Relationship Id="rId26" Type="http://schemas.openxmlformats.org/officeDocument/2006/relationships/hyperlink" Target="http://www.nevo.co.il/case/5882680" TargetMode="External"/><Relationship Id="rId3" Type="http://schemas.openxmlformats.org/officeDocument/2006/relationships/customXml" Target="../customXml/item2.xml"/><Relationship Id="rId21" Type="http://schemas.openxmlformats.org/officeDocument/2006/relationships/hyperlink" Target="http://www.nevo.co.il/case/11694635"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nevo.co.il/case/5740462" TargetMode="External"/><Relationship Id="rId17" Type="http://schemas.openxmlformats.org/officeDocument/2006/relationships/hyperlink" Target="http://www.nevo.co.il/case/2862568" TargetMode="External"/><Relationship Id="rId25" Type="http://schemas.openxmlformats.org/officeDocument/2006/relationships/hyperlink" Target="http://www.nevo.co.il/law/72351" TargetMode="Externa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nevo.co.il/case/20493098" TargetMode="External"/><Relationship Id="rId20" Type="http://schemas.openxmlformats.org/officeDocument/2006/relationships/hyperlink" Target="http://www.nevo.co.il/case/1717930"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16999650" TargetMode="External"/><Relationship Id="rId24" Type="http://schemas.openxmlformats.org/officeDocument/2006/relationships/hyperlink" Target="http://www.nevo.co.il/case/1184725" TargetMode="External"/><Relationship Id="rId32"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www.nevo.co.il/case/13069003" TargetMode="External"/><Relationship Id="rId23" Type="http://schemas.openxmlformats.org/officeDocument/2006/relationships/hyperlink" Target="http://www.nevo.co.il/case/1408638"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hyperlink" Target="http://www.nevo.co.il/case/1398108" TargetMode="External"/><Relationship Id="rId19" Type="http://schemas.openxmlformats.org/officeDocument/2006/relationships/hyperlink" Target="http://www.nevo.co.il/case/17940408" TargetMode="External"/><Relationship Id="rId31"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2268954" TargetMode="External"/><Relationship Id="rId22" Type="http://schemas.openxmlformats.org/officeDocument/2006/relationships/hyperlink" Target="http://www.nevo.co.il/case/11711716" TargetMode="External"/><Relationship Id="rId27" Type="http://schemas.openxmlformats.org/officeDocument/2006/relationships/image" Target="media/image1.jpg"/><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A74356" w:rsidP="00A74356">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6D148A"/>
    <w:rsid w:val="006F0A5B"/>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79943803</CaseID>
    <CaseJudicialPersonPresentationDS>
      <CaseJudicalPersonActive>
        <CaseID>79943803</CaseID>
        <JudicialPersonID>022834014@GOV.IL</JudicialPersonID>
        <JudicialPersonTypeID>1</JudicialPersonTypeID>
        <JudicialTypeID>1</JudicialTypeID>
        <IsChairman>false</IsChairman>
        <TreatmentStartDate>2023-12-07T13:21:29.567+02:00</TreatmentStartDate>
        <TreatmentFinishDate>9999-12-31T23:59:59.997+02:00</TreatmentFinishDate>
        <IdentificationCardNumber>022834014</IdentificationCardNumber>
        <DisplayName>רבקה גלט</DisplayName>
        <JudicialTypeName>שופט</JudicialTypeName>
        <CaseJudicialGroupNumber>0</CaseJudicialGroupNumber>
        <FirstName>רבקה</FirstName>
        <LastName>גלט</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נאשמים</RoleName>
        <IsSubProceeding>FALSE</IsSubProceeding>
        <FullName>ארז גיאת</FullName>
        <FirstName>ארז</FirstName>
        <LastName>גיאת</LastName>
        <PartyPropertyName/>
        <AuthenticationTypeAndNumber>מ.ר. 68736</AuthenticationTypeAndNumber>
        <RepresentatedOrRepresentativesNames>ארז יצחק</RepresentatedOrRepresentativesNames>
        <RepresentatedOrRepresentativesCount>1</RepresentatedOrRepresentativesCount>
        <InvitedBy/>
        <CaseID>79943803</CaseID>
        <CaseJudicialPersonPresentationDS>
          <CaseJudicalPersonActive>
            <CaseID>79943803</CaseID>
            <JudicialPersonID>022834014@GOV.IL</JudicialPersonID>
            <JudicialPersonTypeID>1</JudicialPersonTypeID>
            <JudicialTypeID>1</JudicialTypeID>
            <IsChairman>false</IsChairman>
            <TreatmentStartDate>2023-12-07T13:21:29.567+02:00</TreatmentStartDate>
            <TreatmentFinishDate>9999-12-31T23:59:59.997+02:00</TreatmentFinishDate>
            <IdentificationCardNumber>022834014</IdentificationCardNumber>
            <DisplayName>רבקה גלט</DisplayName>
            <JudicialTypeName>שופט</JudicialTypeName>
            <CaseJudicialGroupNumber>0</CaseJudicialGroupNumber>
            <FirstName>רבקה</FirstName>
            <LastName>גלט</LastName>
            <JudicialPersonTitle>שופט</JudicialPersonTitle>
          </CaseJudicalPersonActive>
        </CaseJudicialPersonPresentationDS>
        <CasePartyID>257695765</CasePartyID>
        <PartyTypeID>2</PartyTypeID>
        <ActivityStatusID>1</ActivityStatusID>
        <PartyAliasID>32</PartyAliasID>
        <PartyAliasName>בא כוח נאשמים</PartyAliasName>
        <LegalEntityID>75382386</LegalEntityID>
        <CaseLegalEntityID>124970441</CaseLegalEntityID>
        <AuthenticationTypeID>4</AuthenticationTypeID>
        <AuthenticationTypeName>מ.ר.</AuthenticationTypeName>
        <LegalEntityNumber>68736</LegalEntityNumber>
        <IsMainPartyType>true</IsMainPartyType>
        <CaseDisplayIdentifier>58536-01-23</CaseDisplayIdentifier>
        <CaseTypeID>10048</CaseTypeID>
        <CaseTypeName>תיק פלילי (ת"פ)</CaseTypeName>
        <CaseName>מדינת ישראל נ' יצחק</CaseName>
        <FullAddress>ענבר 6/2 מודיעין-מכבים-רעות* </FullAddress>
        <EmailAddress>e13091979@gmail.com</EmailAddress>
        <MotionID>0</MotionID>
        <CasePleaID>0</CasePleaID>
        <LinkedCaseID>0</LinkedCaseID>
        <PartyID>2</PartyID>
        <CasePartyCategoryID>2</CasePartyCategoryID>
        <LegalEntityAddressID>78508692</LegalEntityAddressID>
        <LegalEntityEmailAddressID>67903592</LegalEntityEmailAddressID>
        <PleaTypeID>8</PleaTypeID>
        <LawyerOfficeName>משרד עו"ד ארז גיאת</LawyerOfficeName>
        <LawyerOfficeID>75382387</LawyerOfficeID>
        <GroupPartyAlias/>
        <IsConverted>false</IsConverted>
        <LegalEntityNameID>81817306</LegalEntityNameID>
        <RepresentatedNamesOfAssistant/>
        <LegalEntityTypeID>4</LegalEntityTypeID>
        <IsVerdictExists>false</IsVerdictExists>
        <IsAsirAzir>false</IsAsirAzir>
        <IsPublicationProhibited>false</IsPublicationProhibited>
        <PublicationProhibitedFullName>ארז גיאת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יהודית שקד</FullName>
        <FirstName>יהודית</FirstName>
        <LastName>שקד</LastName>
        <PartyPropertyName/>
        <AuthenticationTypeAndNumber>מ.ר. 23940</AuthenticationTypeAndNumber>
        <RepresentatedOrRepresentativesNames>ארז יצחק</RepresentatedOrRepresentativesNames>
        <RepresentatedOrRepresentativesCount>1</RepresentatedOrRepresentativesCount>
        <InvitedBy/>
        <CaseID>79943803</CaseID>
        <CaseJudicialPersonPresentationDS>
          <CaseJudicalPersonActive>
            <CaseID>79943803</CaseID>
            <JudicialPersonID>022834014@GOV.IL</JudicialPersonID>
            <JudicialPersonTypeID>1</JudicialPersonTypeID>
            <JudicialTypeID>1</JudicialTypeID>
            <IsChairman>false</IsChairman>
            <TreatmentStartDate>2023-12-07T13:21:29.567+02:00</TreatmentStartDate>
            <TreatmentFinishDate>9999-12-31T23:59:59.997+02:00</TreatmentFinishDate>
            <IdentificationCardNumber>022834014</IdentificationCardNumber>
            <DisplayName>רבקה גלט</DisplayName>
            <JudicialTypeName>שופט</JudicialTypeName>
            <CaseJudicialGroupNumber>0</CaseJudicialGroupNumber>
            <FirstName>רבקה</FirstName>
            <LastName>גלט</LastName>
            <JudicialPersonTitle>שופט</JudicialPersonTitle>
          </CaseJudicalPersonActive>
        </CaseJudicialPersonPresentationDS>
        <CasePartyID>257768677</CasePartyID>
        <PartyTypeID>2</PartyTypeID>
        <ActivityStatusID>1</ActivityStatusID>
        <PartyAliasID>32</PartyAliasID>
        <PartyAliasName>בא כוח נאשמים</PartyAliasName>
        <LegalEntityID>406441</LegalEntityID>
        <CaseLegalEntityID>124992482</CaseLegalEntityID>
        <AuthenticationTypeID>4</AuthenticationTypeID>
        <AuthenticationTypeName>מ.ר.</AuthenticationTypeName>
        <LegalEntityNumber>23940</LegalEntityNumber>
        <IsMainPartyType>true</IsMainPartyType>
        <CaseDisplayIdentifier>58536-01-23</CaseDisplayIdentifier>
        <CaseTypeID>10048</CaseTypeID>
        <CaseTypeName>תיק פלילי (ת"פ)</CaseTypeName>
        <CaseName>מדינת ישראל נ' יצחק</CaseName>
        <FullAddress>הרצל 59 רמלה </FullAddress>
        <EmailAddress>judeshaked@gmail.com</EmailAddress>
        <MotionID>0</MotionID>
        <CasePleaID>0</CasePleaID>
        <LinkedCaseID>0</LinkedCaseID>
        <PartyID>2</PartyID>
        <CasePartyCategoryID>2</CasePartyCategoryID>
        <LegalEntityAddressID>86432096</LegalEntityAddressID>
        <LegalEntityEmailAddressID>68179411</LegalEntityEmailAddressID>
        <PleaTypeID>8</PleaTypeID>
        <LawyerOfficeName>משרד עו"ד: יהודית שקד</LawyerOfficeName>
        <LawyerOfficeID>447085</LawyerOfficeID>
        <GroupPartyAlias/>
        <IsConverted>false</IsConverted>
        <LegalEntityNameID>27425</LegalEntityNameID>
        <RepresentatedNamesOfAssistant/>
        <LegalEntityTypeID>4</LegalEntityTypeID>
        <IsVerdictExists>false</IsVerdictExists>
        <IsAsirAzir>false</IsAsirAzir>
        <IsPublicationProhibited>false</IsPublicationProhibited>
        <PublicationProhibitedFullName>יהודית שקד</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אמיר ברק</RepresentatedOrRepresentativesNames>
        <RepresentatedOrRepresentativesCount>1</RepresentatedOrRepresentativesCount>
        <InvitedBy/>
        <CaseID>79943803</CaseID>
        <CaseJudicialPersonPresentationDS>
          <CaseJudicalPersonActive>
            <CaseID>79943803</CaseID>
            <JudicialPersonID>022834014@GOV.IL</JudicialPersonID>
            <JudicialPersonTypeID>1</JudicialPersonTypeID>
            <JudicialTypeID>1</JudicialTypeID>
            <IsChairman>false</IsChairman>
            <TreatmentStartDate>2023-12-07T13:21:29.567+02:00</TreatmentStartDate>
            <TreatmentFinishDate>9999-12-31T23:59:59.997+02:00</TreatmentFinishDate>
            <IdentificationCardNumber>022834014</IdentificationCardNumber>
            <DisplayName>רבקה גלט</DisplayName>
            <JudicialTypeName>שופט</JudicialTypeName>
            <CaseJudicialGroupNumber>0</CaseJudicialGroupNumber>
            <FirstName>רבקה</FirstName>
            <LastName>גלט</LastName>
            <JudicialPersonTitle>שופט</JudicialPersonTitle>
          </CaseJudicalPersonActive>
        </CaseJudicialPersonPresentationDS>
        <CasePartyID>251014773</CasePartyID>
        <PartyTypeID>1</PartyTypeID>
        <ActivityStatusID>1</ActivityStatusID>
        <PartyAliasID>11</PartyAliasID>
        <PartyAliasName>מאשימה</PartyAliasName>
        <OrdinalNumber>1</OrdinalNumber>
        <LegalEntityID>4</LegalEntityID>
        <CaseLegalEntityID>122903290</CaseLegalEntityID>
        <AuthenticationTypeID>41</AuthenticationTypeID>
        <AuthenticationTypeName>מדינת ישראל </AuthenticationTypeName>
        <LegalEntityNumber/>
        <IsMainPartyType>true</IsMainPartyType>
        <CaseDisplayIdentifier>58536-01-23</CaseDisplayIdentifier>
        <CaseTypeID>10048</CaseTypeID>
        <CaseTypeName>תיק פלילי (ת"פ)</CaseTypeName>
        <CaseName>מדינת ישראל נ' יצחק</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אמיר ברק</FullName>
        <FirstName>אמיר</FirstName>
        <LastName>ברק</LastName>
        <PartyPropertyName/>
        <AuthenticationTypeAndNumber>מ.ר. 34428</AuthenticationTypeAndNumber>
        <RepresentatedOrRepresentativesNames xml:space="preserve"> </RepresentatedOrRepresentativesNames>
        <RepresentatedOrRepresentativesCount>1</RepresentatedOrRepresentativesCount>
        <InvitedBy/>
        <CaseID>79943803</CaseID>
        <CaseJudicialPersonPresentationDS>
          <CaseJudicalPersonActive>
            <CaseID>79943803</CaseID>
            <JudicialPersonID>022834014@GOV.IL</JudicialPersonID>
            <JudicialPersonTypeID>1</JudicialPersonTypeID>
            <JudicialTypeID>1</JudicialTypeID>
            <IsChairman>false</IsChairman>
            <TreatmentStartDate>2023-12-07T13:21:29.567+02:00</TreatmentStartDate>
            <TreatmentFinishDate>9999-12-31T23:59:59.997+02:00</TreatmentFinishDate>
            <IdentificationCardNumber>022834014</IdentificationCardNumber>
            <DisplayName>רבקה גלט</DisplayName>
            <JudicialTypeName>שופט</JudicialTypeName>
            <CaseJudicialGroupNumber>0</CaseJudicialGroupNumber>
            <FirstName>רבקה</FirstName>
            <LastName>גלט</LastName>
            <JudicialPersonTitle>שופט</JudicialPersonTitle>
          </CaseJudicalPersonActive>
        </CaseJudicialPersonPresentationDS>
        <CasePartyID>251014774</CasePartyID>
        <PartyTypeID>2</PartyTypeID>
        <ActivityStatusID>1</ActivityStatusID>
        <PartyAliasID>30</PartyAliasID>
        <PartyAliasName>בא כוח מאשימה</PartyAliasName>
        <OrdinalNumber>1</OrdinalNumber>
        <LegalEntityID>408219</LegalEntityID>
        <CaseLegalEntityID>122903291</CaseLegalEntityID>
        <AuthenticationTypeID>4</AuthenticationTypeID>
        <AuthenticationTypeName>מ.ר.</AuthenticationTypeName>
        <LegalEntityNumber>34428</LegalEntityNumber>
        <IsMainPartyType>true</IsMainPartyType>
        <CaseDisplayIdentifier>58536-01-23</CaseDisplayIdentifier>
        <CaseTypeID>10048</CaseTypeID>
        <CaseTypeName>תיק פלילי (ת"פ)</CaseTypeName>
        <CaseName>מדינת ישראל נ' יצחק</CaseName>
        <FullAddress>היצירה 3 רמת גן בית ש.א.פ קומה 12</FullAddress>
        <MotionID>0</MotionID>
        <CasePleaID>0</CasePleaID>
        <FatherName xml:space="preserve">        </FatherName>
        <LinkedCaseID>0</LinkedCaseID>
        <PartyID>1</PartyID>
        <CasePartyCategoryID>2</CasePartyCategoryID>
        <LegalEntityAddressID>83815563</LegalEntityAddressID>
        <PleaTypeID>8</PleaTypeID>
        <LawyerOfficeName>משרד עו"ד: אמיר ברק</LawyerOfficeName>
        <LawyerOfficeID>448863</LawyerOfficeID>
        <GroupPartyAlias/>
        <IsConverted>false</IsConverted>
        <LegalEntityNameID>29203</LegalEntityNameID>
        <RepresentatedNamesOfAssistant/>
        <LegalEntityTypeID>4</LegalEntityTypeID>
        <IsVerdictExists>false</IsVerdictExists>
        <IsAsirAzir>false</IsAsirAzir>
        <IsPublicationProhibited>false</IsPublicationProhibited>
        <PublicationProhibitedFullName>אמיר ברק</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ארז יצחק</FullName>
        <FirstName>ארז</FirstName>
        <LastName>יצחק</LastName>
        <PartyPropertyName/>
        <AuthenticationTypeAndNumber>ת"ז 025306234</AuthenticationTypeAndNumber>
        <RepresentatedOrRepresentativesNames>ארז גיאת, יהודית שקד</RepresentatedOrRepresentativesNames>
        <RepresentatedOrRepresentativesCount>2</RepresentatedOrRepresentativesCount>
        <InvitedBy/>
        <CaseID>79943803</CaseID>
        <CaseJudicialPersonPresentationDS>
          <CaseJudicalPersonActive>
            <CaseID>79943803</CaseID>
            <JudicialPersonID>022834014@GOV.IL</JudicialPersonID>
            <JudicialPersonTypeID>1</JudicialPersonTypeID>
            <JudicialTypeID>1</JudicialTypeID>
            <IsChairman>false</IsChairman>
            <TreatmentStartDate>2023-12-07T13:21:29.567+02:00</TreatmentStartDate>
            <TreatmentFinishDate>9999-12-31T23:59:59.997+02:00</TreatmentFinishDate>
            <IdentificationCardNumber>022834014</IdentificationCardNumber>
            <DisplayName>רבקה גלט</DisplayName>
            <JudicialTypeName>שופט</JudicialTypeName>
            <CaseJudicialGroupNumber>0</CaseJudicialGroupNumber>
            <FirstName>רבקה</FirstName>
            <LastName>גלט</LastName>
            <JudicialPersonTitle>שופט</JudicialPersonTitle>
          </CaseJudicalPersonActive>
        </CaseJudicialPersonPresentationDS>
        <CasePartyID>251014775</CasePartyID>
        <PartyTypeID>1</PartyTypeID>
        <ActivityStatusID>1</ActivityStatusID>
        <PartyAliasID>13</PartyAliasID>
        <PartyAliasName>נאשם</PartyAliasName>
        <OrdinalNumber>1</OrdinalNumber>
        <LegalEntityID>13052326</LegalEntityID>
        <CaseLegalEntityID>122903292</CaseLegalEntityID>
        <AuthenticationTypeID>1</AuthenticationTypeID>
        <AuthenticationTypeName>ת"ז</AuthenticationTypeName>
        <LegalEntityNumber>025306234</LegalEntityNumber>
        <IsMainPartyType>true</IsMainPartyType>
        <CaseDisplayIdentifier>58536-01-23</CaseDisplayIdentifier>
        <CaseTypeID>10048</CaseTypeID>
        <CaseTypeName>תיק פלילי (ת"פ)</CaseTypeName>
        <CaseName>מדינת ישראל נ' יצחק</CaseName>
        <FullAddress>משק 27 כפר רות </FullAddress>
        <MotionID>0</MotionID>
        <CasePleaID>0</CasePleaID>
        <BirthDate>1973-07-20T18:00:13+03:00</BirthDate>
        <FatherName>בנימין</FatherName>
        <LinkedCaseID>0</LinkedCaseID>
        <PartyID>2</PartyID>
        <CasePartyCategoryID>2</CasePartyCategoryID>
        <LegalEntityAddressID>87469692</LegalEntityAddressID>
        <PleaTypeID>8</PleaTypeID>
        <GroupPartyAlias>נאשמים</GroupPartyAlias>
        <IsConverted>false</IsConverted>
        <LegalEntityRegisteredNameID>511368</LegalEntityRegisteredNameID>
        <LegalEntityNameID>94309516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ארז יצחק</PublicationProhibitedFullName>
      </CaseParties>
    </CasePartiesSelectionDS>
    <DecisionName>החלטה  שניתנה ע"י  רבקה גלט</DecisionName>
    <CourtDisplayName>בית משפט השלום ברמלה</CourtDisplayName>
    <IsCaseJudgePanel>false</IsCaseJudgePanel>
    <DecisionSignatureDate>2024-05-27T22:48:35.4372851+03:00</DecisionSignatureDate>
    <OpenCaseDate>2023-01-24T09:14:00+02:00</OpenCaseDate>
    <DecisionTypeID>1</DecisionTypeID>
    <DecisionSignatureUserName>רבקה גלט</DecisionSignatureUserName>
    <DecisionSignatureDateHebrew>2024-05-27T22:48:35.4372851+03:00</DecisionSignatureDateHebrew>
    <DecisionWriterID>022834014@GOV.IL</DecisionWriterID>
    <CourtAddress>רח' ויצמן  3, רמלה 72415</CourtAddress>
    <IsAutoTextInCaseExist>false</IsAutoTextInCaseExist>
    <DecisionSignatureRoleName>שופט</DecisionSignatureRoleName>
    <DecisionSignatureUserTitleName>שופטת</DecisionSignatureUserTitleName>
    <CaseName>מדינת ישראל נ' יצחק</CaseName>
    <DecisionNumberInCase>18</DecisionNumberInCase>
  </dt_Decision>
  <dt_DecisionCase>
    <DecisionID>0</DecisionID>
    <CaseID>79943803</CaseID>
    <CaseJudicialPersonPresentationDS>
      <CaseJudicalPersonActive>
        <CaseID>79943803</CaseID>
        <JudicialPersonID>022834014@GOV.IL</JudicialPersonID>
        <JudicialPersonTypeID>1</JudicialPersonTypeID>
        <JudicialTypeID>1</JudicialTypeID>
        <IsChairman>false</IsChairman>
        <TreatmentStartDate>2023-12-07T13:21:29.567+02:00</TreatmentStartDate>
        <TreatmentFinishDate>9999-12-31T23:59:59.997+02:00</TreatmentFinishDate>
        <IdentificationCardNumber>022834014</IdentificationCardNumber>
        <DisplayName>רבקה גלט</DisplayName>
        <JudicialTypeName>שופט</JudicialTypeName>
        <CaseJudicialGroupNumber>0</CaseJudicialGroupNumber>
        <FirstName>רבקה</FirstName>
        <LastName>גלט</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נאשמים</RoleName>
        <IsSubProceeding>FALSE</IsSubProceeding>
        <FullName>ארז גיאת</FullName>
        <FirstName>ארז</FirstName>
        <LastName>גיאת</LastName>
        <PartyPropertyName/>
        <AuthenticationTypeAndNumber>מ.ר. 68736</AuthenticationTypeAndNumber>
        <RepresentatedOrRepresentativesNames>ארז יצחק</RepresentatedOrRepresentativesNames>
        <RepresentatedOrRepresentativesCount>1</RepresentatedOrRepresentativesCount>
        <InvitedBy/>
        <CaseID>79943803</CaseID>
        <CaseJudicialPersonPresentationDS>
          <CaseJudicalPersonActive>
            <CaseID>79943803</CaseID>
            <JudicialPersonID>022834014@GOV.IL</JudicialPersonID>
            <JudicialPersonTypeID>1</JudicialPersonTypeID>
            <JudicialTypeID>1</JudicialTypeID>
            <IsChairman>false</IsChairman>
            <TreatmentStartDate>2023-12-07T13:21:29.567+02:00</TreatmentStartDate>
            <TreatmentFinishDate>9999-12-31T23:59:59.997+02:00</TreatmentFinishDate>
            <IdentificationCardNumber>022834014</IdentificationCardNumber>
            <DisplayName>רבקה גלט</DisplayName>
            <JudicialTypeName>שופט</JudicialTypeName>
            <CaseJudicialGroupNumber>0</CaseJudicialGroupNumber>
            <FirstName>רבקה</FirstName>
            <LastName>גלט</LastName>
            <JudicialPersonTitle>שופט</JudicialPersonTitle>
          </CaseJudicalPersonActive>
        </CaseJudicialPersonPresentationDS>
        <CasePartyID>257695765</CasePartyID>
        <PartyTypeID>2</PartyTypeID>
        <ActivityStatusID>1</ActivityStatusID>
        <PartyAliasID>32</PartyAliasID>
        <PartyAliasName>בא כוח נאשמים</PartyAliasName>
        <LegalEntityID>75382386</LegalEntityID>
        <CaseLegalEntityID>124970441</CaseLegalEntityID>
        <AuthenticationTypeID>4</AuthenticationTypeID>
        <AuthenticationTypeName>מ.ר.</AuthenticationTypeName>
        <LegalEntityNumber>68736</LegalEntityNumber>
        <IsMainPartyType>true</IsMainPartyType>
        <CaseDisplayIdentifier>58536-01-23</CaseDisplayIdentifier>
        <CaseTypeID>10048</CaseTypeID>
        <CaseTypeName>תיק פלילי (ת"פ)</CaseTypeName>
        <CaseName>מדינת ישראל נ' יצחק</CaseName>
        <FullAddress>ענבר 6/2 מודיעין-מכבים-רעות* </FullAddress>
        <EmailAddress>e13091979@gmail.com</EmailAddress>
        <MotionID>0</MotionID>
        <CasePleaID>0</CasePleaID>
        <LinkedCaseID>0</LinkedCaseID>
        <PartyID>2</PartyID>
        <CasePartyCategoryID>2</CasePartyCategoryID>
        <LegalEntityAddressID>78508692</LegalEntityAddressID>
        <LegalEntityEmailAddressID>67903592</LegalEntityEmailAddressID>
        <PleaTypeID>8</PleaTypeID>
        <LawyerOfficeName>משרד עו"ד ארז גיאת</LawyerOfficeName>
        <LawyerOfficeID>75382387</LawyerOfficeID>
        <GroupPartyAlias/>
        <IsConverted>false</IsConverted>
        <LegalEntityNameID>81817306</LegalEntityNameID>
        <RepresentatedNamesOfAssistant/>
        <LegalEntityTypeID>4</LegalEntityTypeID>
        <IsVerdictExists>false</IsVerdictExists>
        <IsAsirAzir>false</IsAsirAzir>
        <IsPublicationProhibited>false</IsPublicationProhibited>
        <PublicationProhibitedFullName>ארז גיאת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יהודית שקד</FullName>
        <FirstName>יהודית</FirstName>
        <LastName>שקד</LastName>
        <PartyPropertyName/>
        <AuthenticationTypeAndNumber>מ.ר. 23940</AuthenticationTypeAndNumber>
        <RepresentatedOrRepresentativesNames>ארז יצחק</RepresentatedOrRepresentativesNames>
        <RepresentatedOrRepresentativesCount>1</RepresentatedOrRepresentativesCount>
        <InvitedBy/>
        <CaseID>79943803</CaseID>
        <CaseJudicialPersonPresentationDS>
          <CaseJudicalPersonActive>
            <CaseID>79943803</CaseID>
            <JudicialPersonID>022834014@GOV.IL</JudicialPersonID>
            <JudicialPersonTypeID>1</JudicialPersonTypeID>
            <JudicialTypeID>1</JudicialTypeID>
            <IsChairman>false</IsChairman>
            <TreatmentStartDate>2023-12-07T13:21:29.567+02:00</TreatmentStartDate>
            <TreatmentFinishDate>9999-12-31T23:59:59.997+02:00</TreatmentFinishDate>
            <IdentificationCardNumber>022834014</IdentificationCardNumber>
            <DisplayName>רבקה גלט</DisplayName>
            <JudicialTypeName>שופט</JudicialTypeName>
            <CaseJudicialGroupNumber>0</CaseJudicialGroupNumber>
            <FirstName>רבקה</FirstName>
            <LastName>גלט</LastName>
            <JudicialPersonTitle>שופט</JudicialPersonTitle>
          </CaseJudicalPersonActive>
        </CaseJudicialPersonPresentationDS>
        <CasePartyID>257768677</CasePartyID>
        <PartyTypeID>2</PartyTypeID>
        <ActivityStatusID>1</ActivityStatusID>
        <PartyAliasID>32</PartyAliasID>
        <PartyAliasName>בא כוח נאשמים</PartyAliasName>
        <LegalEntityID>406441</LegalEntityID>
        <CaseLegalEntityID>124992482</CaseLegalEntityID>
        <AuthenticationTypeID>4</AuthenticationTypeID>
        <AuthenticationTypeName>מ.ר.</AuthenticationTypeName>
        <LegalEntityNumber>23940</LegalEntityNumber>
        <IsMainPartyType>true</IsMainPartyType>
        <CaseDisplayIdentifier>58536-01-23</CaseDisplayIdentifier>
        <CaseTypeID>10048</CaseTypeID>
        <CaseTypeName>תיק פלילי (ת"פ)</CaseTypeName>
        <CaseName>מדינת ישראל נ' יצחק</CaseName>
        <FullAddress>הרצל 59 רמלה </FullAddress>
        <EmailAddress>judeshaked@gmail.com</EmailAddress>
        <MotionID>0</MotionID>
        <CasePleaID>0</CasePleaID>
        <LinkedCaseID>0</LinkedCaseID>
        <PartyID>2</PartyID>
        <CasePartyCategoryID>2</CasePartyCategoryID>
        <LegalEntityAddressID>86432096</LegalEntityAddressID>
        <LegalEntityEmailAddressID>68179411</LegalEntityEmailAddressID>
        <PleaTypeID>8</PleaTypeID>
        <LawyerOfficeName>משרד עו"ד: יהודית שקד</LawyerOfficeName>
        <LawyerOfficeID>447085</LawyerOfficeID>
        <GroupPartyAlias/>
        <IsConverted>false</IsConverted>
        <LegalEntityNameID>27425</LegalEntityNameID>
        <RepresentatedNamesOfAssistant/>
        <LegalEntityTypeID>4</LegalEntityTypeID>
        <IsVerdictExists>false</IsVerdictExists>
        <IsAsirAzir>false</IsAsirAzir>
        <IsPublicationProhibited>false</IsPublicationProhibited>
        <PublicationProhibitedFullName>יהודית שקד</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אמיר ברק</RepresentatedOrRepresentativesNames>
        <RepresentatedOrRepresentativesCount>1</RepresentatedOrRepresentativesCount>
        <InvitedBy/>
        <CaseID>79943803</CaseID>
        <CaseJudicialPersonPresentationDS>
          <CaseJudicalPersonActive>
            <CaseID>79943803</CaseID>
            <JudicialPersonID>022834014@GOV.IL</JudicialPersonID>
            <JudicialPersonTypeID>1</JudicialPersonTypeID>
            <JudicialTypeID>1</JudicialTypeID>
            <IsChairman>false</IsChairman>
            <TreatmentStartDate>2023-12-07T13:21:29.567+02:00</TreatmentStartDate>
            <TreatmentFinishDate>9999-12-31T23:59:59.997+02:00</TreatmentFinishDate>
            <IdentificationCardNumber>022834014</IdentificationCardNumber>
            <DisplayName>רבקה גלט</DisplayName>
            <JudicialTypeName>שופט</JudicialTypeName>
            <CaseJudicialGroupNumber>0</CaseJudicialGroupNumber>
            <FirstName>רבקה</FirstName>
            <LastName>גלט</LastName>
            <JudicialPersonTitle>שופט</JudicialPersonTitle>
          </CaseJudicalPersonActive>
        </CaseJudicialPersonPresentationDS>
        <CasePartyID>251014773</CasePartyID>
        <PartyTypeID>1</PartyTypeID>
        <ActivityStatusID>1</ActivityStatusID>
        <PartyAliasID>11</PartyAliasID>
        <PartyAliasName>מאשימה</PartyAliasName>
        <OrdinalNumber>1</OrdinalNumber>
        <LegalEntityID>4</LegalEntityID>
        <CaseLegalEntityID>122903290</CaseLegalEntityID>
        <AuthenticationTypeID>41</AuthenticationTypeID>
        <AuthenticationTypeName>מדינת ישראל </AuthenticationTypeName>
        <LegalEntityNumber/>
        <IsMainPartyType>true</IsMainPartyType>
        <CaseDisplayIdentifier>58536-01-23</CaseDisplayIdentifier>
        <CaseTypeID>10048</CaseTypeID>
        <CaseTypeName>תיק פלילי (ת"פ)</CaseTypeName>
        <CaseName>מדינת ישראל נ' יצחק</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אמיר ברק</FullName>
        <FirstName>אמיר</FirstName>
        <LastName>ברק</LastName>
        <PartyPropertyName/>
        <AuthenticationTypeAndNumber>מ.ר. 34428</AuthenticationTypeAndNumber>
        <RepresentatedOrRepresentativesNames xml:space="preserve"> </RepresentatedOrRepresentativesNames>
        <RepresentatedOrRepresentativesCount>1</RepresentatedOrRepresentativesCount>
        <InvitedBy/>
        <CaseID>79943803</CaseID>
        <CaseJudicialPersonPresentationDS>
          <CaseJudicalPersonActive>
            <CaseID>79943803</CaseID>
            <JudicialPersonID>022834014@GOV.IL</JudicialPersonID>
            <JudicialPersonTypeID>1</JudicialPersonTypeID>
            <JudicialTypeID>1</JudicialTypeID>
            <IsChairman>false</IsChairman>
            <TreatmentStartDate>2023-12-07T13:21:29.567+02:00</TreatmentStartDate>
            <TreatmentFinishDate>9999-12-31T23:59:59.997+02:00</TreatmentFinishDate>
            <IdentificationCardNumber>022834014</IdentificationCardNumber>
            <DisplayName>רבקה גלט</DisplayName>
            <JudicialTypeName>שופט</JudicialTypeName>
            <CaseJudicialGroupNumber>0</CaseJudicialGroupNumber>
            <FirstName>רבקה</FirstName>
            <LastName>גלט</LastName>
            <JudicialPersonTitle>שופט</JudicialPersonTitle>
          </CaseJudicalPersonActive>
        </CaseJudicialPersonPresentationDS>
        <CasePartyID>251014774</CasePartyID>
        <PartyTypeID>2</PartyTypeID>
        <ActivityStatusID>1</ActivityStatusID>
        <PartyAliasID>30</PartyAliasID>
        <PartyAliasName>בא כוח מאשימה</PartyAliasName>
        <OrdinalNumber>1</OrdinalNumber>
        <LegalEntityID>408219</LegalEntityID>
        <CaseLegalEntityID>122903291</CaseLegalEntityID>
        <AuthenticationTypeID>4</AuthenticationTypeID>
        <AuthenticationTypeName>מ.ר.</AuthenticationTypeName>
        <LegalEntityNumber>34428</LegalEntityNumber>
        <IsMainPartyType>true</IsMainPartyType>
        <CaseDisplayIdentifier>58536-01-23</CaseDisplayIdentifier>
        <CaseTypeID>10048</CaseTypeID>
        <CaseTypeName>תיק פלילי (ת"פ)</CaseTypeName>
        <CaseName>מדינת ישראל נ' יצחק</CaseName>
        <FullAddress>היצירה 3 רמת גן בית ש.א.פ קומה 12</FullAddress>
        <MotionID>0</MotionID>
        <CasePleaID>0</CasePleaID>
        <FatherName xml:space="preserve">        </FatherName>
        <LinkedCaseID>0</LinkedCaseID>
        <PartyID>1</PartyID>
        <CasePartyCategoryID>2</CasePartyCategoryID>
        <LegalEntityAddressID>83815563</LegalEntityAddressID>
        <PleaTypeID>8</PleaTypeID>
        <LawyerOfficeName>משרד עו"ד: אמיר ברק</LawyerOfficeName>
        <LawyerOfficeID>448863</LawyerOfficeID>
        <GroupPartyAlias/>
        <IsConverted>false</IsConverted>
        <LegalEntityNameID>29203</LegalEntityNameID>
        <RepresentatedNamesOfAssistant/>
        <LegalEntityTypeID>4</LegalEntityTypeID>
        <IsVerdictExists>false</IsVerdictExists>
        <IsAsirAzir>false</IsAsirAzir>
        <IsPublicationProhibited>false</IsPublicationProhibited>
        <PublicationProhibitedFullName>אמיר ברק</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ארז יצחק</FullName>
        <FirstName>ארז</FirstName>
        <LastName>יצחק</LastName>
        <PartyPropertyName/>
        <AuthenticationTypeAndNumber>ת"ז 025306234</AuthenticationTypeAndNumber>
        <RepresentatedOrRepresentativesNames>ארז גיאת, יהודית שקד</RepresentatedOrRepresentativesNames>
        <RepresentatedOrRepresentativesCount>2</RepresentatedOrRepresentativesCount>
        <InvitedBy/>
        <CaseID>79943803</CaseID>
        <CaseJudicialPersonPresentationDS>
          <CaseJudicalPersonActive>
            <CaseID>79943803</CaseID>
            <JudicialPersonID>022834014@GOV.IL</JudicialPersonID>
            <JudicialPersonTypeID>1</JudicialPersonTypeID>
            <JudicialTypeID>1</JudicialTypeID>
            <IsChairman>false</IsChairman>
            <TreatmentStartDate>2023-12-07T13:21:29.567+02:00</TreatmentStartDate>
            <TreatmentFinishDate>9999-12-31T23:59:59.997+02:00</TreatmentFinishDate>
            <IdentificationCardNumber>022834014</IdentificationCardNumber>
            <DisplayName>רבקה גלט</DisplayName>
            <JudicialTypeName>שופט</JudicialTypeName>
            <CaseJudicialGroupNumber>0</CaseJudicialGroupNumber>
            <FirstName>רבקה</FirstName>
            <LastName>גלט</LastName>
            <JudicialPersonTitle>שופט</JudicialPersonTitle>
          </CaseJudicalPersonActive>
        </CaseJudicialPersonPresentationDS>
        <CasePartyID>251014775</CasePartyID>
        <PartyTypeID>1</PartyTypeID>
        <ActivityStatusID>1</ActivityStatusID>
        <PartyAliasID>13</PartyAliasID>
        <PartyAliasName>נאשם</PartyAliasName>
        <OrdinalNumber>1</OrdinalNumber>
        <LegalEntityID>13052326</LegalEntityID>
        <CaseLegalEntityID>122903292</CaseLegalEntityID>
        <AuthenticationTypeID>1</AuthenticationTypeID>
        <AuthenticationTypeName>ת"ז</AuthenticationTypeName>
        <LegalEntityNumber>025306234</LegalEntityNumber>
        <IsMainPartyType>true</IsMainPartyType>
        <CaseDisplayIdentifier>58536-01-23</CaseDisplayIdentifier>
        <CaseTypeID>10048</CaseTypeID>
        <CaseTypeName>תיק פלילי (ת"פ)</CaseTypeName>
        <CaseName>מדינת ישראל נ' יצחק</CaseName>
        <FullAddress>משק 27 כפר רות </FullAddress>
        <MotionID>0</MotionID>
        <CasePleaID>0</CasePleaID>
        <BirthDate>1973-07-20T18:00:13+03:00</BirthDate>
        <FatherName>בנימין</FatherName>
        <LinkedCaseID>0</LinkedCaseID>
        <PartyID>2</PartyID>
        <CasePartyCategoryID>2</CasePartyCategoryID>
        <LegalEntityAddressID>87469692</LegalEntityAddressID>
        <PleaTypeID>8</PleaTypeID>
        <GroupPartyAlias>נאשמים</GroupPartyAlias>
        <IsConverted>false</IsConverted>
        <LegalEntityRegisteredNameID>511368</LegalEntityRegisteredNameID>
        <LegalEntityNameID>94309516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ארז יצחק</PublicationProhibitedFullName>
      </CaseParties>
    </CasePartiesSelectionDS>
    <CaseName>מדינת ישראל נ' יצחק</CaseName>
    <CaseDisplayIdentifier>58536-01-23</CaseDisplayIdentifier>
    <CaseTypeShortName>ת"פ</CaseTypeShortName>
  </dt_DecisionCase>
  <dt_DecisionJudgePanel>
    <JudgeID>022834014@GOV.IL</JudgeID>
    <DisplayName>רבקה גלט</DisplayName>
    <RoleName>שופט</RoleName>
    <UserTitleName>שופטת</UserTitleName>
  </dt_DecisionJudgePanel>
  <dt_LegalEntityDetails>
    <PartyID>2</PartyID>
    <PartyTypeID>2</PartyTypeID>
    <DecisionID>0</DecisionID>
    <StreetName>ענבר 6/2</StreetName>
    <ZipCode>7176475</ZipCode>
    <CityName>מודיעין-מכבים-רעות*</CityName>
    <FullName>ארז גיאת</FullName>
    <Email>e13091979@gmail.com</Email>
    <IsPublicationProhibited>false</IsPublicationProhibited>
  </dt_LegalEntityDetails>
  <dt_LegalEntityDetails>
    <Fax>08-9249302</Fax>
    <Phone>08-9206559</Phone>
    <PartyID>2</PartyID>
    <PartyTypeID>2</PartyTypeID>
    <DecisionID>0</DecisionID>
    <StreetName>הרצל 59</StreetName>
    <CityName>רמלה</CityName>
    <FullName>יהודית שקד</FullName>
    <Email>judeshaked@gmail.com</Email>
    <IsPublicationProhibited>false</IsPublicationProhibited>
  </dt_LegalEntityDetails>
  <dt_LegalEntityDetails>
    <PartyID>1</PartyID>
    <PartyTypeID>1</PartyTypeID>
    <DecisionID>0</DecisionID>
    <IsPublicationProhibited>false</IsPublicationProhibited>
  </dt_LegalEntityDetails>
  <dt_LegalEntityDetails>
    <Fax>03-7518125</Fax>
    <Phone>03-6541606</Phone>
    <AddressDesc>בית ש.א.פ קומה 12</AddressDesc>
    <PartyID>1</PartyID>
    <PartyTypeID>2</PartyTypeID>
    <DecisionID>0</DecisionID>
    <StreetName>היצירה 3</StreetName>
    <ZipCode>5252141</ZipCode>
    <CityName>רמת גן</CityName>
    <FullName>אמיר ברק</FullName>
    <Email>amir@bmadv.co.il</Email>
    <IsPublicationProhibited>false</IsPublicationProhibited>
  </dt_LegalEntityDetails>
  <dt_LegalEntityDetails>
    <PartyID>2</PartyID>
    <PartyTypeID>1</PartyTypeID>
    <DecisionID>0</DecisionID>
    <StreetName>משק 27</StreetName>
    <CityName>כפר רות</CityName>
    <FullName>ארז יצחק</FullName>
    <IsPublicationProhibited>false</IsPublicationProhibited>
  </dt_LegalEntityDetails>
  <dt_CaseJudicalPersonActive>
    <CaseJudicalPerson>שופטת רבקה גלט</CaseJudicalPerson>
  </dt_CaseJudicalPersonActive>
  <dt_Sitting>
    <FutureSittingDate>2024-07-04T13:00:00+03:00</FutureSittingDate>
    <PreviousMeetingDate>2024-05-12T12:00:00+03:00</PreviousMeetingDate>
    <NextSittingTypeID>5</NextSittingTypeID>
    <PreviousSittingTypeID>9</PreviousSittingTypeID>
    <NextMeetingDisplayName>שופטת רבקה גלט</NextMeetingDisplayName>
    <NextMeetingRoleName>שופט</NextMeetingRoleName>
    <NextMeetingUserTitleName>שופטת</NextMeetingUserTitleName>
    <NextMeetingUserUPN>022834014@GOV.IL</NextMeetingUserUPN>
    <PreviousMeetingDisplayName>שופטת רבקה גלט</PreviousMeetingDisplayName>
    <PreviousMeetingRoleName>שופט</PreviousMeetingRoleName>
    <PreviousMeetingUserTitleName>שופטת</PreviousMeetingUserTitleName>
    <PreviousMeetingUserUPN>022834014@GOV.IL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BFBF2-657A-491F-B23D-A5D58DBE6C08}">
  <ds:schemaRefs/>
</ds:datastoreItem>
</file>

<file path=customXml/itemProps2.xml><?xml version="1.0" encoding="utf-8"?>
<ds:datastoreItem xmlns:ds="http://schemas.openxmlformats.org/officeDocument/2006/customXml" ds:itemID="{FBCC574D-597D-434E-A019-E02F2F1AB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3895</Words>
  <Characters>19475</Characters>
  <Application>Microsoft Office Word</Application>
  <DocSecurity>0</DocSecurity>
  <Lines>162</Lines>
  <Paragraphs>46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2024-06-04T12:29:00Z</dcterms:created>
  <dcterms:modified xsi:type="dcterms:W3CDTF">2024-06-04T12:29:00Z</dcterms:modified>
</cp:coreProperties>
</file>